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2" w:rsidRDefault="00911BB2" w:rsidP="00C1714A">
      <w:pPr>
        <w:rPr>
          <w:b/>
          <w:bCs/>
          <w:noProof/>
          <w:sz w:val="26"/>
          <w:szCs w:val="26"/>
        </w:rPr>
      </w:pPr>
      <w:bookmarkStart w:id="0" w:name="_GoBack"/>
      <w:bookmarkEnd w:id="0"/>
      <w:r w:rsidRPr="00F15A88">
        <w:rPr>
          <w:b/>
          <w:bCs/>
          <w:noProof/>
          <w:sz w:val="26"/>
          <w:szCs w:val="26"/>
        </w:rPr>
        <w:t>Doporučený  postup SIL ČLS</w:t>
      </w:r>
      <w:r>
        <w:rPr>
          <w:b/>
          <w:bCs/>
          <w:noProof/>
          <w:sz w:val="26"/>
          <w:szCs w:val="26"/>
        </w:rPr>
        <w:t xml:space="preserve"> JEP léčby pacientů s onemocněním </w:t>
      </w:r>
      <w:r w:rsidRPr="00C0113F">
        <w:rPr>
          <w:b/>
          <w:bCs/>
          <w:noProof/>
          <w:sz w:val="26"/>
          <w:szCs w:val="26"/>
        </w:rPr>
        <w:t>covid-19</w:t>
      </w:r>
    </w:p>
    <w:p w:rsidR="00911BB2" w:rsidRPr="00F15A88" w:rsidRDefault="00911BB2" w:rsidP="00C1714A">
      <w:pPr>
        <w:rPr>
          <w:b/>
          <w:bCs/>
          <w:noProof/>
          <w:sz w:val="24"/>
          <w:szCs w:val="24"/>
        </w:rPr>
      </w:pPr>
      <w:r w:rsidRPr="00F15A88">
        <w:rPr>
          <w:b/>
          <w:bCs/>
          <w:noProof/>
          <w:sz w:val="24"/>
          <w:szCs w:val="24"/>
        </w:rPr>
        <w:t>Kümpel Petr, Holub Michal, Roháčová Hana, Plíšek Stanislav</w:t>
      </w:r>
    </w:p>
    <w:p w:rsidR="00911BB2" w:rsidRPr="00DC3714" w:rsidRDefault="00911BB2" w:rsidP="00C1714A">
      <w:pPr>
        <w:rPr>
          <w:bCs/>
          <w:noProof/>
          <w:sz w:val="24"/>
          <w:szCs w:val="24"/>
        </w:rPr>
      </w:pPr>
      <w:r w:rsidRPr="00DC3714">
        <w:rPr>
          <w:bCs/>
          <w:noProof/>
          <w:sz w:val="24"/>
          <w:szCs w:val="24"/>
        </w:rPr>
        <w:t>Upozornění: V textu uvedená léčba vychází z klinických studií a je podpořena evidencí. Léčba experimentální je uvedena samostatně.</w:t>
      </w:r>
      <w:r>
        <w:rPr>
          <w:bCs/>
          <w:noProof/>
          <w:sz w:val="24"/>
          <w:szCs w:val="24"/>
        </w:rPr>
        <w:t xml:space="preserve"> </w:t>
      </w:r>
    </w:p>
    <w:p w:rsidR="00911BB2" w:rsidRPr="001B2A8F" w:rsidRDefault="00911BB2" w:rsidP="00C1714A">
      <w:pPr>
        <w:rPr>
          <w:b/>
          <w:bCs/>
        </w:rPr>
      </w:pPr>
      <w:r w:rsidRPr="001B2A8F">
        <w:rPr>
          <w:b/>
          <w:bCs/>
        </w:rPr>
        <w:t>Pacienti splňující kritéria pro domácí léčbu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37"/>
      </w:tblGrid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</w:pPr>
            <w:r w:rsidRPr="00D04188">
              <w:t>Izolace, klidový režim, symptomatická léčba: antipyretika, expektorancia (ACC, Erdomed apod.), léčba GIT potíží, event. antitusika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</w:pPr>
            <w:r w:rsidRPr="00D04188">
              <w:t>2x denně sledovat teplotu, puls, dechovou frekvenci, podle stavu kontaktovat lékaře,               ev. pravidelné telefonické kontroly lékařem</w:t>
            </w:r>
          </w:p>
        </w:tc>
      </w:tr>
    </w:tbl>
    <w:p w:rsidR="00911BB2" w:rsidRPr="001B2A8F" w:rsidRDefault="00911BB2" w:rsidP="00C1714A">
      <w:pPr>
        <w:rPr>
          <w:b/>
          <w:bCs/>
        </w:rPr>
      </w:pPr>
    </w:p>
    <w:p w:rsidR="00911BB2" w:rsidRPr="001B2A8F" w:rsidRDefault="00911BB2" w:rsidP="00C1714A">
      <w:pPr>
        <w:rPr>
          <w:b/>
          <w:bCs/>
        </w:rPr>
      </w:pPr>
      <w:r w:rsidRPr="001B2A8F">
        <w:rPr>
          <w:b/>
          <w:bCs/>
        </w:rPr>
        <w:t>Hospitalizovaný pacient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37"/>
      </w:tblGrid>
      <w:tr w:rsidR="00911BB2" w:rsidRPr="00D04188" w:rsidTr="00D04188">
        <w:tc>
          <w:tcPr>
            <w:tcW w:w="9212" w:type="dxa"/>
            <w:gridSpan w:val="2"/>
          </w:tcPr>
          <w:p w:rsidR="00911BB2" w:rsidRPr="00D04188" w:rsidRDefault="00911BB2" w:rsidP="00D0418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D04188">
              <w:rPr>
                <w:b/>
                <w:bCs/>
                <w:sz w:val="24"/>
                <w:szCs w:val="24"/>
              </w:rPr>
              <w:t>Všichni hospitalizovaní pacienti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</w:pPr>
            <w:r w:rsidRPr="00D04188">
              <w:t xml:space="preserve">Posouzení chronicky užívaných léků – ACEi ponechat (vysadit jen při hypotenzi); statiny ponechat (vysadit při elevaci ALT nad 3násobek horní hranice normy - HHN); </w:t>
            </w:r>
            <w:r w:rsidRPr="00D04188">
              <w:rPr>
                <w:sz w:val="23"/>
                <w:szCs w:val="23"/>
              </w:rPr>
              <w:t>snížit chronickou dávku kortikoidů pod ekvivalent 0,2 mg/kg den methylprednisolonu při ponechání ostatní imunosupresivní léčby.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</w:pPr>
            <w:r w:rsidRPr="00D04188">
              <w:t>Při známkách bakteriální infekce širokospektrá ATB, optimálně po konzultaci s ATB centrem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  <w:bCs/>
              </w:rPr>
            </w:pPr>
            <w:r w:rsidRPr="00D04188">
              <w:rPr>
                <w:b/>
                <w:bCs/>
              </w:rPr>
              <w:t xml:space="preserve">Laboratorní a pomocná vyšetření: </w:t>
            </w:r>
            <w:r w:rsidRPr="00D04188">
              <w:t xml:space="preserve">krevní obraz a diferenciální krevní obraz s počtem lymfocytů, CRP, laktát, </w:t>
            </w:r>
            <w:r w:rsidRPr="00D04188">
              <w:rPr>
                <w:color w:val="000000"/>
              </w:rPr>
              <w:t>prokalcitonin (PCT)</w:t>
            </w:r>
            <w:r w:rsidRPr="00D04188">
              <w:t xml:space="preserve">, kreatinfosfokináza (CPK), d-dimery, feritin, LDH, ALT, AST, bilirubin, urea, kreatinin, minerály, hs-troponin T, </w:t>
            </w:r>
            <w:r w:rsidRPr="00D04188">
              <w:rPr>
                <w:color w:val="000000"/>
              </w:rPr>
              <w:t xml:space="preserve">dle možnosti interleukin-6, </w:t>
            </w:r>
            <w:r w:rsidRPr="00D04188">
              <w:t>dle stavu  RTG plic, event. HRCT či CT angiografie při podezření na plicní embolii</w:t>
            </w:r>
          </w:p>
        </w:tc>
      </w:tr>
      <w:tr w:rsidR="00911BB2" w:rsidRPr="00D04188" w:rsidTr="00D04188">
        <w:tc>
          <w:tcPr>
            <w:tcW w:w="9212" w:type="dxa"/>
            <w:gridSpan w:val="2"/>
          </w:tcPr>
          <w:p w:rsidR="00911BB2" w:rsidRPr="00D04188" w:rsidRDefault="00911BB2" w:rsidP="00D0418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D04188">
              <w:rPr>
                <w:b/>
                <w:bCs/>
                <w:sz w:val="24"/>
                <w:szCs w:val="24"/>
              </w:rPr>
              <w:t xml:space="preserve">Pacienti s mírným onemocněním 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</w:pPr>
            <w:r w:rsidRPr="00D04188">
              <w:t>Symptomatická léčba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</w:pPr>
            <w:r w:rsidRPr="00D04188">
              <w:t>Sledovat rizikové faktory (dechová frekvence, puls, saturace O</w:t>
            </w:r>
            <w:r w:rsidRPr="00D04188">
              <w:rPr>
                <w:vertAlign w:val="subscript"/>
              </w:rPr>
              <w:t>2</w:t>
            </w:r>
            <w:r w:rsidRPr="00D04188">
              <w:t>, CRP)</w:t>
            </w:r>
          </w:p>
        </w:tc>
      </w:tr>
      <w:tr w:rsidR="00911BB2" w:rsidRPr="00D04188" w:rsidTr="00D04188">
        <w:tc>
          <w:tcPr>
            <w:tcW w:w="9212" w:type="dxa"/>
            <w:gridSpan w:val="2"/>
          </w:tcPr>
          <w:p w:rsidR="00911BB2" w:rsidRPr="00D04188" w:rsidRDefault="00911BB2" w:rsidP="00D0418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D04188">
              <w:rPr>
                <w:b/>
                <w:bCs/>
                <w:color w:val="000000"/>
                <w:sz w:val="24"/>
                <w:szCs w:val="24"/>
              </w:rPr>
              <w:t xml:space="preserve">Pacienti se středně těžkým onemocněním, zejména pokud jsou zatíženi nejméně jedním rizikovým faktorem 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</w:pPr>
            <w:r w:rsidRPr="00D04188">
              <w:t xml:space="preserve">Rizikové faktory: </w:t>
            </w:r>
          </w:p>
          <w:p w:rsidR="00911BB2" w:rsidRPr="00D04188" w:rsidRDefault="00911BB2" w:rsidP="00D0418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FF0000"/>
              </w:rPr>
            </w:pPr>
            <w:r w:rsidRPr="00D04188">
              <w:t xml:space="preserve">věk &gt; 60 let, HIV+, diabetes mellitus s A1c &gt; 7,6 %, hypertenze, </w:t>
            </w:r>
            <w:r w:rsidRPr="00D04188">
              <w:rPr>
                <w:color w:val="000000"/>
              </w:rPr>
              <w:t>závažná plicní či kardiovaskulární choroba, BMI &gt; 35, renální insuficience</w:t>
            </w:r>
            <w:r w:rsidRPr="00D04188">
              <w:t xml:space="preserve">, aktivní malignita, </w:t>
            </w:r>
          </w:p>
          <w:p w:rsidR="00911BB2" w:rsidRPr="00D04188" w:rsidRDefault="00911BB2" w:rsidP="00D0418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1F497D"/>
              </w:rPr>
            </w:pPr>
            <w:r w:rsidRPr="00D04188">
              <w:t>dechová frekvence &gt; 24, puls &gt; 125, saturace O</w:t>
            </w:r>
            <w:r w:rsidRPr="00D04188">
              <w:rPr>
                <w:vertAlign w:val="subscript"/>
              </w:rPr>
              <w:t>2</w:t>
            </w:r>
            <w:r w:rsidRPr="00D04188">
              <w:t xml:space="preserve"> (SpO</w:t>
            </w:r>
            <w:r w:rsidRPr="00D04188">
              <w:rPr>
                <w:vertAlign w:val="subscript"/>
              </w:rPr>
              <w:t>2</w:t>
            </w:r>
            <w:r w:rsidRPr="00D04188">
              <w:t>) &lt; 93 % bez oxygenoterapie</w:t>
            </w:r>
          </w:p>
          <w:p w:rsidR="00911BB2" w:rsidRPr="00D04188" w:rsidRDefault="00911BB2" w:rsidP="00D0418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color w:val="000000"/>
              </w:rPr>
            </w:pPr>
            <w:r w:rsidRPr="00D04188">
              <w:t>CRP &gt; 100 mg/l, elevace troponinu, CPK &gt; dvojnásobek HHN,  d-dimery  &gt; 1,0 mg/l, absolutní počet lymfocytů &lt; 1,0 buněk x 10</w:t>
            </w:r>
            <w:r w:rsidRPr="00D04188">
              <w:rPr>
                <w:vertAlign w:val="superscript"/>
              </w:rPr>
              <w:t>9</w:t>
            </w:r>
            <w:r w:rsidRPr="00D04188">
              <w:t xml:space="preserve">/l, feritin &gt; 300 </w:t>
            </w:r>
            <w:r w:rsidRPr="00D04188">
              <w:sym w:font="Symbol" w:char="F06D"/>
            </w:r>
            <w:r w:rsidRPr="00D04188">
              <w:t xml:space="preserve">g/l, IL-6 &gt; 80 pg/ml, </w:t>
            </w:r>
            <w:r w:rsidRPr="00D04188">
              <w:rPr>
                <w:color w:val="000000"/>
              </w:rPr>
              <w:t>dle HRCT &gt; 50% postižení plicní tkáně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</w:pPr>
            <w:r w:rsidRPr="00D04188">
              <w:t>Sledování vitálních funkcí 4x denně,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D04188">
              <w:rPr>
                <w:u w:val="single"/>
              </w:rPr>
              <w:t xml:space="preserve">Oxygenoterapie </w:t>
            </w:r>
            <w:r w:rsidRPr="00D04188">
              <w:rPr>
                <w:color w:val="000000"/>
              </w:rPr>
              <w:t xml:space="preserve">s cílem </w:t>
            </w:r>
            <w:r w:rsidRPr="00D04188">
              <w:rPr>
                <w:rFonts w:cs="Arial"/>
                <w:color w:val="000000"/>
              </w:rPr>
              <w:t>SpO</w:t>
            </w:r>
            <w:r w:rsidRPr="00D04188">
              <w:rPr>
                <w:rFonts w:cs="Arial"/>
                <w:color w:val="000000"/>
                <w:vertAlign w:val="subscript"/>
              </w:rPr>
              <w:t>2</w:t>
            </w:r>
            <w:r w:rsidRPr="00D04188">
              <w:rPr>
                <w:rFonts w:cs="Arial"/>
                <w:color w:val="000000"/>
              </w:rPr>
              <w:t xml:space="preserve">  &gt; 90 %, u těhotných je cílem SpO</w:t>
            </w:r>
            <w:r w:rsidRPr="00D04188">
              <w:rPr>
                <w:rFonts w:cs="Arial"/>
                <w:color w:val="000000"/>
                <w:vertAlign w:val="subscript"/>
              </w:rPr>
              <w:t>2</w:t>
            </w:r>
            <w:r w:rsidRPr="00D04188">
              <w:rPr>
                <w:rFonts w:cs="Arial"/>
                <w:color w:val="000000"/>
              </w:rPr>
              <w:t xml:space="preserve">  &gt; 92-95 %, u nemocných s chronickou hyperkapnii 88-92 %, V individuálních případech u nemocných se závažným chronickým plicním onemocněním i hodnoty nižší. </w:t>
            </w:r>
            <w:r w:rsidRPr="00D04188">
              <w:rPr>
                <w:rFonts w:cs="Arial"/>
                <w:color w:val="000000"/>
                <w:lang w:eastAsia="en-US"/>
              </w:rPr>
              <w:t>Pro většinu kriticky nemocných je preferováno nejnižší možné FiO</w:t>
            </w:r>
            <w:r w:rsidRPr="00D04188">
              <w:rPr>
                <w:rFonts w:cs="Arial"/>
                <w:color w:val="000000"/>
                <w:vertAlign w:val="subscript"/>
                <w:lang w:eastAsia="en-US"/>
              </w:rPr>
              <w:t>2</w:t>
            </w:r>
            <w:r w:rsidRPr="00D04188">
              <w:rPr>
                <w:rFonts w:cs="Arial"/>
                <w:color w:val="000000"/>
                <w:lang w:eastAsia="en-US"/>
              </w:rPr>
              <w:t>, ideálně s cílem SpO2 92-96 %. Vyšší hodnoty SpO</w:t>
            </w:r>
            <w:r w:rsidRPr="00D04188">
              <w:rPr>
                <w:rFonts w:cs="Arial"/>
                <w:color w:val="000000"/>
                <w:vertAlign w:val="subscript"/>
                <w:lang w:eastAsia="en-US"/>
              </w:rPr>
              <w:t xml:space="preserve">2 </w:t>
            </w:r>
            <w:r w:rsidRPr="00D04188">
              <w:rPr>
                <w:rFonts w:cs="Arial"/>
                <w:color w:val="000000"/>
                <w:lang w:eastAsia="en-US"/>
              </w:rPr>
              <w:t>nepřinášejí benefit</w:t>
            </w:r>
            <w:r w:rsidRPr="00D04188">
              <w:rPr>
                <w:rFonts w:cs="Arial"/>
                <w:b/>
                <w:bCs/>
                <w:color w:val="000000"/>
                <w:lang w:eastAsia="en-US"/>
              </w:rPr>
              <w:t xml:space="preserve">. </w:t>
            </w:r>
            <w:r w:rsidRPr="00D04188">
              <w:rPr>
                <w:rFonts w:cs="Arial"/>
                <w:color w:val="000000"/>
              </w:rPr>
              <w:t>Prakticky lze začít se základní polomaskou průtokem 5 l/min., při splnění oxygenačního cíle je možné průtok kyslíku snižovat (Cave: riziko retence CO</w:t>
            </w:r>
            <w:r w:rsidRPr="00D04188">
              <w:rPr>
                <w:rFonts w:cs="Arial"/>
                <w:color w:val="000000"/>
                <w:vertAlign w:val="subscript"/>
              </w:rPr>
              <w:t>2</w:t>
            </w:r>
            <w:r w:rsidRPr="00D04188">
              <w:rPr>
                <w:rFonts w:cs="Arial"/>
                <w:color w:val="000000"/>
              </w:rPr>
              <w:t xml:space="preserve"> při průtocích menších než 5 l/min., zvážit možnost přechodu na kyslíkové brýle), při nedosažení cíle s průtokem ≥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D04188">
                <w:rPr>
                  <w:rFonts w:cs="Arial"/>
                  <w:color w:val="000000"/>
                </w:rPr>
                <w:t>10 l</w:t>
              </w:r>
            </w:smartTag>
            <w:r w:rsidRPr="00D04188">
              <w:rPr>
                <w:rFonts w:cs="Arial"/>
                <w:color w:val="000000"/>
              </w:rPr>
              <w:t xml:space="preserve"> O2/min. zvážit užití HFNO ev. jiných metod.  </w:t>
            </w:r>
          </w:p>
          <w:p w:rsidR="00911BB2" w:rsidRPr="00D04188" w:rsidRDefault="00911BB2" w:rsidP="00D04188">
            <w:pPr>
              <w:spacing w:after="0" w:line="240" w:lineRule="auto"/>
              <w:rPr>
                <w:color w:val="000000"/>
              </w:rPr>
            </w:pPr>
            <w:r w:rsidRPr="00D04188">
              <w:rPr>
                <w:color w:val="000000"/>
              </w:rPr>
              <w:t>Pronační polohy mohou být přínosné i pro pacienty se spontánní ventilací.</w:t>
            </w:r>
            <w:r w:rsidRPr="00D04188" w:rsidDel="00C96452">
              <w:rPr>
                <w:color w:val="000000"/>
              </w:rPr>
              <w:t xml:space="preserve"> </w:t>
            </w:r>
          </w:p>
          <w:p w:rsidR="00911BB2" w:rsidRPr="00D04188" w:rsidRDefault="00911BB2" w:rsidP="00D04188">
            <w:pPr>
              <w:spacing w:after="0" w:line="240" w:lineRule="auto"/>
              <w:rPr>
                <w:color w:val="000000"/>
              </w:rPr>
            </w:pPr>
            <w:r w:rsidRPr="00D04188">
              <w:rPr>
                <w:color w:val="000000"/>
                <w:u w:val="single"/>
              </w:rPr>
              <w:t>Kortikoterapie</w:t>
            </w:r>
            <w:r w:rsidRPr="00D04188">
              <w:rPr>
                <w:color w:val="000000"/>
              </w:rPr>
              <w:t xml:space="preserve">: </w:t>
            </w:r>
            <w:r w:rsidRPr="00D04188">
              <w:rPr>
                <w:b/>
                <w:bCs/>
                <w:color w:val="000000"/>
              </w:rPr>
              <w:t>Dexamethason</w:t>
            </w:r>
            <w:r w:rsidRPr="00D04188">
              <w:rPr>
                <w:bCs/>
                <w:color w:val="000000"/>
              </w:rPr>
              <w:t xml:space="preserve">  </w:t>
            </w:r>
            <w:r w:rsidRPr="00D04188">
              <w:rPr>
                <w:bCs/>
              </w:rPr>
              <w:t>6 mg i. v. nebo p. o. 1x denně. Léčba je přínosná u pacientů s těžším průběhem na oxygenoterapii či UPV; u lehčích forem covid-19 není doporučena . Dexamethason se aplikuje zpravidla nejdříve 6. den od počátku klinických příznaků (předpokládá se modulace nadměrné prozánětové odpovědi).</w:t>
            </w:r>
            <w:r w:rsidRPr="00D04188">
              <w:t xml:space="preserve">  Je nutné z</w:t>
            </w:r>
            <w:r w:rsidRPr="00D04188">
              <w:rPr>
                <w:sz w:val="23"/>
                <w:szCs w:val="23"/>
              </w:rPr>
              <w:t>vážit rizika podání kortikoidů při možné superinfekci (např. PCT &gt; 0,5 ng/ml) a při známkách imunosuprese.</w:t>
            </w:r>
            <w:r w:rsidRPr="00D04188">
              <w:rPr>
                <w:color w:val="FF0000"/>
              </w:rPr>
              <w:t xml:space="preserve"> </w:t>
            </w:r>
            <w:r w:rsidRPr="00D04188">
              <w:rPr>
                <w:color w:val="000000"/>
              </w:rPr>
              <w:t>Tato terapie v multicentrické  studii RECOVERY, ve které bylo zařazeno 2104 pacientů hospitalizovaných ve 175 nemocnicích NHS (National Health System, Spojené království), prokázala zlepšení přežití těžkých a kritických průběhů covid-19, ale u středně závažných průběhů covid-19 bez oxygenoterapie dexamethason neprokázal účinnost. Doporučovaná délka podávání je 7-10 dnů, event. déle v sestupném dávkování.  Dávka dexamethasonu 6 mg denně odpovídá 160 mg hydrocortisonu, 40 mg prednisonu a 32 mg methylprednisolonu. Důkazy podporující použití těchto kortikosteroidů místo dexamethasonu jsou limitované.</w:t>
            </w:r>
          </w:p>
          <w:p w:rsidR="00911BB2" w:rsidRPr="00D04188" w:rsidRDefault="00911BB2" w:rsidP="00D04188">
            <w:pPr>
              <w:spacing w:after="0" w:line="240" w:lineRule="auto"/>
              <w:rPr>
                <w:color w:val="000000"/>
              </w:rPr>
            </w:pP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D04188">
              <w:rPr>
                <w:color w:val="000000"/>
                <w:u w:val="single"/>
              </w:rPr>
              <w:t>Prevence TEN</w:t>
            </w:r>
            <w:r w:rsidRPr="00D04188">
              <w:rPr>
                <w:color w:val="000000"/>
              </w:rPr>
              <w:t xml:space="preserve">: covid-19 je spojen se zvýšeným rizikem tromboembolických příhod vzniklých v důsledků mikrotrombotizace. </w:t>
            </w:r>
            <w:r w:rsidRPr="00D04188">
              <w:rPr>
                <w:rFonts w:cs="Arial"/>
              </w:rPr>
              <w:t xml:space="preserve">Zavedená udržovací antikoagulační ani antiagregační léčba nemá být během hospitalizace pro covid-19 přerušována, pokud to nevynutí průběh onemocnění. K zavedené antiagregační léčbě má být přidána profylaktická dávka nízkomolekulárního heparinu (LMWH), pokud není riziko krvácení. </w:t>
            </w:r>
            <w:r w:rsidRPr="00D04188">
              <w:rPr>
                <w:color w:val="000000"/>
              </w:rPr>
              <w:t xml:space="preserve">LMWH - enoxaparin či nadroparin – v profylaktické dávce je vhodný u všech hospitalizovaných pacientů. Podrobněji viz </w:t>
            </w:r>
            <w:r w:rsidRPr="00D04188">
              <w:rPr>
                <w:rFonts w:cs="Calibri"/>
              </w:rPr>
              <w:t>Doporučený postup České společnosti pro trombózu a hemostázu ČLS JEP v aktuální verzi (15)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  <w:rPr>
                <w:rFonts w:cs="Calibri"/>
                <w:color w:val="FF0000"/>
              </w:rPr>
            </w:pPr>
            <w:r w:rsidRPr="00D04188">
              <w:rPr>
                <w:rFonts w:cs="Calibri"/>
                <w:b/>
                <w:color w:val="000000"/>
              </w:rPr>
              <w:t>Rekonvalescentní plazma</w:t>
            </w:r>
            <w:r w:rsidRPr="00D04188">
              <w:rPr>
                <w:rFonts w:cs="Calibri"/>
                <w:color w:val="000000"/>
              </w:rPr>
              <w:t xml:space="preserve"> (optimálně 2 T.U. nebo 5-6 ml/kg) - co nejdříve od přijetí k hospitalizaci (optimální je podání plazmy pacientům s nízkou [i předpokládanou nízkou] hladinou vlastních protilátek a během prvních 3 dnů trvání klinických příznaků), indikace viz Doporučený postup použití rekonvalescentní plazmy (RP) v léčbě dospělých pacientů s </w:t>
            </w:r>
            <w:r w:rsidRPr="00D04188">
              <w:rPr>
                <w:color w:val="000000"/>
              </w:rPr>
              <w:t>covid-19</w:t>
            </w:r>
            <w:r w:rsidRPr="00D04188">
              <w:rPr>
                <w:rFonts w:cs="Calibri"/>
                <w:color w:val="000000"/>
              </w:rPr>
              <w:t xml:space="preserve">. Referováno je použití rekonvalescentní plazmy u 35 322 pacientů s covidem-19 (koordinuje Mayo Clinic, Minesota). Léčba je považována za bezpečnou s nejvyšší účinností při časném podání preparátu, který obsahuje vyšší titr virus-neutralizačních protilátek. </w:t>
            </w:r>
          </w:p>
          <w:p w:rsidR="00911BB2" w:rsidRPr="00D04188" w:rsidRDefault="00911BB2" w:rsidP="00D04188">
            <w:pPr>
              <w:spacing w:after="0" w:line="240" w:lineRule="auto"/>
              <w:rPr>
                <w:rFonts w:cs="Calibri"/>
                <w:bCs/>
              </w:rPr>
            </w:pPr>
          </w:p>
          <w:p w:rsidR="00911BB2" w:rsidRPr="00D04188" w:rsidRDefault="00911BB2" w:rsidP="00D04188">
            <w:pPr>
              <w:spacing w:after="0" w:line="240" w:lineRule="auto"/>
              <w:rPr>
                <w:rFonts w:cs="Calibri"/>
                <w:color w:val="000000"/>
              </w:rPr>
            </w:pPr>
            <w:r w:rsidRPr="00D04188">
              <w:rPr>
                <w:rFonts w:cs="Calibri"/>
                <w:b/>
                <w:bCs/>
              </w:rPr>
              <w:t>Remdesivir (Veklury 100 mg infusní roztok)</w:t>
            </w:r>
            <w:r w:rsidRPr="00D04188">
              <w:rPr>
                <w:rFonts w:cs="Calibri"/>
                <w:bCs/>
              </w:rPr>
              <w:t xml:space="preserve">  - </w:t>
            </w:r>
            <w:r w:rsidRPr="00D04188">
              <w:rPr>
                <w:rFonts w:cs="Calibri"/>
              </w:rPr>
              <w:t xml:space="preserve"> u nemocných s oxygenoterapií (léčba kyslíkem s nízkým průtokem) by měl být nasazen co nejdříve a neměl by být indikován u nemocných, kteří potřebují HFNO, NIV nebo UPV. </w:t>
            </w:r>
            <w:r w:rsidRPr="00D04188">
              <w:rPr>
                <w:rFonts w:cs="Calibri"/>
                <w:bCs/>
              </w:rPr>
              <w:t xml:space="preserve"> </w:t>
            </w:r>
            <w:r w:rsidRPr="00D04188">
              <w:rPr>
                <w:rFonts w:cs="Calibri"/>
              </w:rPr>
              <w:t xml:space="preserve">U pacientů je dostačující </w:t>
            </w:r>
            <w:r w:rsidRPr="00D04188">
              <w:rPr>
                <w:rFonts w:cs="Calibri"/>
                <w:b/>
              </w:rPr>
              <w:t xml:space="preserve">doba podávání 5 dnů (1. den 200 mg a 2-5. den 100 mg). </w:t>
            </w:r>
            <w:r w:rsidRPr="00D04188">
              <w:rPr>
                <w:rFonts w:cs="Calibri"/>
              </w:rPr>
              <w:t>Randomizovaná kontrolovaná studie u 1063 pacientů prokázala zkrácení délky hospitalizace pacientů s covidem-</w:t>
            </w:r>
            <w:smartTag w:uri="urn:schemas-microsoft-com:office:smarttags" w:element="metricconverter">
              <w:smartTagPr>
                <w:attr w:name="ProductID" w:val="19 a"/>
              </w:smartTagPr>
              <w:r w:rsidRPr="00D04188">
                <w:rPr>
                  <w:rFonts w:cs="Calibri"/>
                </w:rPr>
                <w:t>19 a</w:t>
              </w:r>
            </w:smartTag>
            <w:r w:rsidRPr="00D04188">
              <w:rPr>
                <w:rFonts w:cs="Calibri"/>
              </w:rPr>
              <w:t xml:space="preserve"> naznačila trend lepšího přežití středně závažných průběhů covidu-19. Panel expertů doporučuje přednostně používat remdesivir u pacientů s potřebou oxygenoterapie spO</w:t>
            </w:r>
            <w:r w:rsidRPr="00D04188">
              <w:rPr>
                <w:rFonts w:cs="Calibri"/>
                <w:vertAlign w:val="subscript"/>
              </w:rPr>
              <w:t>2</w:t>
            </w:r>
            <w:r w:rsidRPr="00D04188">
              <w:rPr>
                <w:rFonts w:cs="Calibri"/>
              </w:rPr>
              <w:t xml:space="preserve"> </w:t>
            </w:r>
            <w:r w:rsidRPr="00D04188">
              <w:t>&lt; 93 % a obrazem oboustranné pneumonie při zobrazovací metodě.</w:t>
            </w:r>
            <w:r w:rsidRPr="00D04188">
              <w:rPr>
                <w:rFonts w:cs="Calibri"/>
              </w:rPr>
              <w:t xml:space="preserve"> </w:t>
            </w:r>
            <w:r w:rsidRPr="00D04188">
              <w:rPr>
                <w:rFonts w:cs="Calibri"/>
                <w:color w:val="000000"/>
              </w:rPr>
              <w:t xml:space="preserve">Remdesivir je určen pro dospělé a dospívající nad 12 let (&gt; 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D04188">
                <w:rPr>
                  <w:rFonts w:cs="Calibri"/>
                  <w:color w:val="000000"/>
                </w:rPr>
                <w:t>40 kg</w:t>
              </w:r>
            </w:smartTag>
            <w:r w:rsidRPr="00D04188">
              <w:rPr>
                <w:rFonts w:cs="Calibri"/>
                <w:color w:val="000000"/>
              </w:rPr>
              <w:t xml:space="preserve"> tělesné hmotnosti), je kontraindikován pro pacienty s těžkou renální insuficiencí (eGFR &lt; 30 ml/min.) a elevací ALT nad pětinásobek HHN. Optimální indikace remdesiviru je u pacientů s trváním klinických příznaků do 7 dnů s potvrzenou diagnózou PCR testem nebo antigenem, dlouhodobou příznivou prognózou pacienta, „frailty score“ v pásmu 1-6, lymfopenií </w:t>
            </w:r>
            <w:r w:rsidRPr="00D04188">
              <w:rPr>
                <w:rFonts w:ascii="Times New Roman" w:hAnsi="Times New Roman"/>
                <w:color w:val="000000"/>
              </w:rPr>
              <w:t>&lt;</w:t>
            </w:r>
            <w:r w:rsidRPr="00D04188">
              <w:rPr>
                <w:rFonts w:cs="Calibri"/>
                <w:color w:val="000000"/>
              </w:rPr>
              <w:t xml:space="preserve"> </w:t>
            </w:r>
            <w:r w:rsidRPr="00D04188">
              <w:t>1,0 buněk x 10</w:t>
            </w:r>
            <w:r w:rsidRPr="00D04188">
              <w:rPr>
                <w:vertAlign w:val="superscript"/>
              </w:rPr>
              <w:t>9</w:t>
            </w:r>
            <w:r w:rsidRPr="00D04188">
              <w:t>/l</w:t>
            </w:r>
            <w:r w:rsidRPr="00D04188">
              <w:rPr>
                <w:rFonts w:cs="Calibri"/>
                <w:color w:val="000000"/>
              </w:rPr>
              <w:t>, případně přítomnosti dalších komorbidit (např. hemotoonkologického onemocnění, obezita, hypertenze, diabetes mellitus).  Léčbu je třeba přerušit u pacientů, u nichž je pozorován vzestup ALT nad pětinásobek HHN. V léčbě lze pokračovat, pokud hladina ALT klesne pod pětinásobek HHN.  Remdesivir se objednává pomocí nemocniční lékárny a indikace musí být schválena vedoucím pracoviště, KKIP a členem virtutální indikační skupiny. Pokud je potřeba dávat remdesivir déle než 5 dnů, je nutné další schválení.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  <w:rPr>
                <w:bCs/>
                <w:color w:val="000000"/>
                <w:u w:val="single"/>
              </w:rPr>
            </w:pPr>
            <w:r w:rsidRPr="00D04188">
              <w:rPr>
                <w:bCs/>
                <w:color w:val="000000"/>
                <w:u w:val="single"/>
              </w:rPr>
              <w:t>Experimentální léčba</w:t>
            </w:r>
          </w:p>
          <w:p w:rsidR="00911BB2" w:rsidRPr="00D04188" w:rsidRDefault="00911BB2" w:rsidP="00D04188">
            <w:pPr>
              <w:spacing w:after="0" w:line="240" w:lineRule="auto"/>
              <w:rPr>
                <w:rFonts w:cs="Calibri"/>
              </w:rPr>
            </w:pPr>
            <w:r w:rsidRPr="00D04188">
              <w:rPr>
                <w:rFonts w:cs="Calibri"/>
                <w:b/>
                <w:bCs/>
              </w:rPr>
              <w:t xml:space="preserve">Favipiravir  (Avigan) – </w:t>
            </w:r>
            <w:r w:rsidRPr="00D04188">
              <w:rPr>
                <w:rFonts w:cs="Calibri"/>
                <w:b/>
                <w:bCs/>
                <w:color w:val="000000"/>
                <w:shd w:val="clear" w:color="auto" w:fill="FFFFFF"/>
              </w:rPr>
              <w:t xml:space="preserve">1. den 2x 1800 mg, od 2. dne 2x 800 mg p.o,  </w:t>
            </w:r>
            <w:r w:rsidRPr="00D04188">
              <w:rPr>
                <w:rFonts w:cs="Calibri"/>
                <w:bCs/>
                <w:color w:val="000000"/>
                <w:shd w:val="clear" w:color="auto" w:fill="FFFFFF"/>
              </w:rPr>
              <w:t>maximálně do 14. dne</w:t>
            </w:r>
            <w:r w:rsidRPr="00D04188">
              <w:rPr>
                <w:rFonts w:cs="Calibri"/>
                <w:b/>
                <w:bCs/>
                <w:color w:val="000000"/>
                <w:shd w:val="clear" w:color="auto" w:fill="FFFFFF"/>
              </w:rPr>
              <w:t>,</w:t>
            </w:r>
            <w:r w:rsidRPr="00D04188">
              <w:rPr>
                <w:rFonts w:cs="Calibri"/>
              </w:rPr>
              <w:t xml:space="preserve"> inhibitor syntézy RNA - T705. V současné době je v ČR dostupný v omezeném množství. V případě zájmu ho lze objednat prostřednictvím nemocniční lékárny.  Favipiravir je vhodné zvážit v terapii u lehčího průběhu </w:t>
            </w:r>
            <w:r w:rsidRPr="00D04188">
              <w:rPr>
                <w:color w:val="000000"/>
              </w:rPr>
              <w:t>covidu-</w:t>
            </w:r>
            <w:smartTag w:uri="urn:schemas-microsoft-com:office:smarttags" w:element="metricconverter">
              <w:smartTagPr>
                <w:attr w:name="ProductID" w:val="19 a"/>
              </w:smartTagPr>
              <w:r w:rsidRPr="00D04188">
                <w:rPr>
                  <w:color w:val="000000"/>
                </w:rPr>
                <w:t xml:space="preserve">19 </w:t>
              </w:r>
              <w:r w:rsidRPr="00D04188">
                <w:rPr>
                  <w:rFonts w:cs="Calibri"/>
                </w:rPr>
                <w:t>a</w:t>
              </w:r>
            </w:smartTag>
            <w:r w:rsidRPr="00D04188">
              <w:rPr>
                <w:rFonts w:cs="Calibri"/>
              </w:rPr>
              <w:t xml:space="preserve"> kratší anamnézou (optimálně 3-4 dny trvání klinických příznaků). Favipiravir je potenciálně teratogenní a před jeho podáním je nutné vyloučit těhotenství</w:t>
            </w:r>
          </w:p>
          <w:p w:rsidR="00911BB2" w:rsidRPr="00D04188" w:rsidRDefault="00911BB2" w:rsidP="00D04188">
            <w:pPr>
              <w:spacing w:after="0" w:line="240" w:lineRule="auto"/>
              <w:rPr>
                <w:bCs/>
              </w:rPr>
            </w:pPr>
            <w:r w:rsidRPr="00D04188">
              <w:rPr>
                <w:rFonts w:cs="Calibri"/>
                <w:b/>
              </w:rPr>
              <w:t>Isoprinosin (Isoprinosine)</w:t>
            </w:r>
            <w:r w:rsidRPr="00D04188">
              <w:rPr>
                <w:rFonts w:cs="Calibri"/>
              </w:rPr>
              <w:t xml:space="preserve"> – při poklesu počtu lymfocytů </w:t>
            </w:r>
            <w:r w:rsidRPr="00D04188">
              <w:t>&lt;</w:t>
            </w:r>
            <w:r w:rsidRPr="00D04188">
              <w:rPr>
                <w:rFonts w:cs="Calibri"/>
              </w:rPr>
              <w:t xml:space="preserve"> 0,8 buněk </w:t>
            </w:r>
            <w:r w:rsidRPr="00D04188">
              <w:t xml:space="preserve"> x 10</w:t>
            </w:r>
            <w:r w:rsidRPr="00D04188">
              <w:rPr>
                <w:vertAlign w:val="superscript"/>
              </w:rPr>
              <w:t>9</w:t>
            </w:r>
            <w:r w:rsidRPr="00D04188">
              <w:t>/l</w:t>
            </w:r>
            <w:r w:rsidRPr="00D04188">
              <w:rPr>
                <w:rFonts w:cs="Calibri"/>
              </w:rPr>
              <w:t xml:space="preserve"> je možné zvážit podání </w:t>
            </w:r>
            <w:r w:rsidRPr="00D04188">
              <w:rPr>
                <w:rFonts w:cs="Calibri"/>
                <w:b/>
              </w:rPr>
              <w:t xml:space="preserve">2x </w:t>
            </w:r>
            <w:smartTag w:uri="urn:schemas-microsoft-com:office:smarttags" w:element="metricconverter">
              <w:smartTagPr>
                <w:attr w:name="ProductID" w:val="1 g"/>
              </w:smartTagPr>
              <w:r w:rsidRPr="00D04188">
                <w:rPr>
                  <w:rFonts w:cs="Calibri"/>
                  <w:b/>
                </w:rPr>
                <w:t>1 g</w:t>
              </w:r>
            </w:smartTag>
            <w:r w:rsidRPr="00D04188">
              <w:rPr>
                <w:rFonts w:cs="Calibri"/>
                <w:b/>
              </w:rPr>
              <w:t xml:space="preserve"> p.o.</w:t>
            </w:r>
            <w:r w:rsidRPr="00D04188">
              <w:rPr>
                <w:rFonts w:cs="Calibri"/>
              </w:rPr>
              <w:t xml:space="preserve"> Léčba se podává do vzestupu počtu lymfocytů nad dolní hranici normy (&gt; 1,2 buněk </w:t>
            </w:r>
            <w:r w:rsidRPr="00D04188">
              <w:t>x 10</w:t>
            </w:r>
            <w:r w:rsidRPr="00D04188">
              <w:rPr>
                <w:vertAlign w:val="superscript"/>
              </w:rPr>
              <w:t>9</w:t>
            </w:r>
            <w:r w:rsidRPr="00D04188">
              <w:t>/l</w:t>
            </w:r>
            <w:r w:rsidRPr="00D04188">
              <w:rPr>
                <w:rFonts w:cs="Calibri"/>
              </w:rPr>
              <w:t>). Při terapii je nutné monitorovat hladinu kyseliny močové. Podávání při lymfopenii je v souladu s SPC preparátu Isoprinosine, účinnost u covid-19 nebyla testována v kontrolovaných studiích.</w:t>
            </w:r>
          </w:p>
        </w:tc>
      </w:tr>
      <w:tr w:rsidR="00911BB2" w:rsidRPr="00D04188" w:rsidTr="00D04188">
        <w:tc>
          <w:tcPr>
            <w:tcW w:w="9212" w:type="dxa"/>
            <w:gridSpan w:val="2"/>
          </w:tcPr>
          <w:p w:rsidR="00911BB2" w:rsidRPr="00D04188" w:rsidRDefault="00911BB2" w:rsidP="00D041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D04188">
              <w:rPr>
                <w:b/>
                <w:bCs/>
                <w:sz w:val="24"/>
                <w:szCs w:val="24"/>
              </w:rPr>
              <w:t>Pacienti s těžkým onemocněním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188">
              <w:rPr>
                <w:color w:val="000000"/>
              </w:rPr>
              <w:t xml:space="preserve">Izolace na JIP/ARO, komplexní léčba, oxygenoterapie -   dle stavu polomaska  </w:t>
            </w:r>
            <w:r w:rsidRPr="00D04188">
              <w:rPr>
                <w:rFonts w:cs="Calibri"/>
              </w:rPr>
              <w:t xml:space="preserve">&gt; </w:t>
            </w:r>
            <w:r w:rsidRPr="00D04188">
              <w:rPr>
                <w:color w:val="000000"/>
              </w:rPr>
              <w:t xml:space="preserve"> polomaska s rezervoárem </w:t>
            </w:r>
            <w:r w:rsidRPr="00D04188">
              <w:rPr>
                <w:rFonts w:cs="Calibri"/>
              </w:rPr>
              <w:t xml:space="preserve">&gt; </w:t>
            </w:r>
            <w:r w:rsidRPr="00D04188">
              <w:rPr>
                <w:color w:val="000000"/>
              </w:rPr>
              <w:t xml:space="preserve"> HFNO </w:t>
            </w:r>
            <w:r w:rsidRPr="00D04188">
              <w:rPr>
                <w:rFonts w:cs="Calibri"/>
              </w:rPr>
              <w:t xml:space="preserve">&gt; </w:t>
            </w:r>
            <w:r w:rsidRPr="00D04188">
              <w:rPr>
                <w:color w:val="000000"/>
              </w:rPr>
              <w:t xml:space="preserve"> NIV či invazivní UPV  (indikace invazivní ventilace je zvažována individuálně na základě posouzení přínosu u nemocných se selháním méně invazivních postupů podpory oxygenace a ventilace). Indikace a kontraindikace k ECMO se řídí aktualizovanými doporučením ELSO</w:t>
            </w:r>
            <w:r w:rsidRPr="00D04188">
              <w:t xml:space="preserve"> </w:t>
            </w:r>
            <w:r w:rsidRPr="00D04188">
              <w:rPr>
                <w:color w:val="000000"/>
              </w:rPr>
              <w:t xml:space="preserve">a je zvažována při selhání invazivní ventilace a pronační polohy. 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0" w:line="240" w:lineRule="auto"/>
            </w:pPr>
            <w:r w:rsidRPr="00D04188">
              <w:rPr>
                <w:b/>
                <w:bCs/>
              </w:rPr>
              <w:t xml:space="preserve">Tekutinová léčba: 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27" w:line="240" w:lineRule="auto"/>
              <w:rPr>
                <w:rFonts w:cs="Calibri"/>
              </w:rPr>
            </w:pPr>
            <w:r w:rsidRPr="00D04188">
              <w:rPr>
                <w:rFonts w:cs="Calibri"/>
              </w:rPr>
              <w:t xml:space="preserve">Pokud pacient nejeví známky poruchy perfúze periferních tkání, je doporučena snaha o restriktivní tekutinovou politiku a udržení negativní nebo vyrovnané bilance 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0" w:line="240" w:lineRule="auto"/>
            </w:pPr>
            <w:r w:rsidRPr="00D04188">
              <w:t>Přetížení tekutinami může být bezprostředně spjato se zhoršením oxygenace.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04188">
              <w:rPr>
                <w:rFonts w:cs="Calibri"/>
                <w:b/>
                <w:bCs/>
              </w:rPr>
              <w:t xml:space="preserve">Kyslíková terapie 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27" w:line="240" w:lineRule="auto"/>
              <w:rPr>
                <w:color w:val="000000"/>
              </w:rPr>
            </w:pPr>
            <w:r w:rsidRPr="00D04188">
              <w:t xml:space="preserve">Použití HFNO/NIV je možné, nemělo by však docházet ke kontaminaci prostředí aerosolem, tzn., že tyto pomůcky musí maximálním možným způsobem těsnit a v případě NIV je doporučeno upřednostnit masky celoobličejové nebo helmy. </w:t>
            </w:r>
            <w:r w:rsidRPr="00D04188">
              <w:rPr>
                <w:color w:val="000000"/>
              </w:rPr>
              <w:t xml:space="preserve">HFNO je upřednostňována před 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27" w:line="240" w:lineRule="auto"/>
              <w:rPr>
                <w:color w:val="000000"/>
              </w:rPr>
            </w:pPr>
            <w:r w:rsidRPr="00D04188">
              <w:rPr>
                <w:color w:val="000000"/>
              </w:rPr>
              <w:t>NIV.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27" w:line="240" w:lineRule="auto"/>
              <w:rPr>
                <w:color w:val="000000"/>
              </w:rPr>
            </w:pP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27" w:line="240" w:lineRule="auto"/>
              <w:rPr>
                <w:color w:val="000000"/>
              </w:rPr>
            </w:pPr>
            <w:r w:rsidRPr="00D04188">
              <w:rPr>
                <w:b/>
                <w:color w:val="000000"/>
              </w:rPr>
              <w:t xml:space="preserve">Kortikoidy </w:t>
            </w:r>
            <w:r w:rsidRPr="00D04188">
              <w:rPr>
                <w:color w:val="000000"/>
              </w:rPr>
              <w:t>– viz výše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27" w:line="240" w:lineRule="auto"/>
              <w:rPr>
                <w:color w:val="000000"/>
              </w:rPr>
            </w:pPr>
            <w:r w:rsidRPr="00D04188">
              <w:rPr>
                <w:b/>
                <w:color w:val="000000"/>
              </w:rPr>
              <w:t>Prevence TEN</w:t>
            </w:r>
            <w:r w:rsidRPr="00D04188">
              <w:rPr>
                <w:color w:val="000000"/>
              </w:rPr>
              <w:t xml:space="preserve"> – viz výše</w:t>
            </w:r>
          </w:p>
          <w:p w:rsidR="00911BB2" w:rsidRPr="00D04188" w:rsidRDefault="00911BB2" w:rsidP="00D04188">
            <w:pPr>
              <w:autoSpaceDE w:val="0"/>
              <w:autoSpaceDN w:val="0"/>
              <w:adjustRightInd w:val="0"/>
              <w:spacing w:after="27" w:line="240" w:lineRule="auto"/>
              <w:rPr>
                <w:color w:val="000000"/>
              </w:rPr>
            </w:pP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  <w:rPr>
                <w:rFonts w:cs="Calibri"/>
              </w:rPr>
            </w:pPr>
            <w:r w:rsidRPr="00D04188">
              <w:rPr>
                <w:rFonts w:cs="Calibri"/>
                <w:b/>
              </w:rPr>
              <w:t>Remdesivir</w:t>
            </w:r>
            <w:r w:rsidRPr="00D04188">
              <w:rPr>
                <w:rFonts w:cs="Calibri"/>
              </w:rPr>
              <w:t xml:space="preserve"> – </w:t>
            </w:r>
            <w:r w:rsidRPr="00D04188">
              <w:t>u pacientů na HFNO, NIV, UPV či ECMO nebylo ve studii ACTT-1 prokázáno lepší přežití při podání remdesiviru, nicméně, pacienti na HFNO a NIV se rychleji uzdravovali.</w:t>
            </w:r>
          </w:p>
          <w:p w:rsidR="00911BB2" w:rsidRPr="00D04188" w:rsidRDefault="00911BB2" w:rsidP="00D04188">
            <w:pPr>
              <w:spacing w:after="0" w:line="240" w:lineRule="auto"/>
              <w:rPr>
                <w:b/>
                <w:color w:val="000000"/>
              </w:rPr>
            </w:pPr>
          </w:p>
          <w:p w:rsidR="00911BB2" w:rsidRPr="00D04188" w:rsidRDefault="00911BB2" w:rsidP="00D04188">
            <w:pPr>
              <w:spacing w:after="0" w:line="240" w:lineRule="auto"/>
              <w:rPr>
                <w:color w:val="000000"/>
              </w:rPr>
            </w:pPr>
            <w:r w:rsidRPr="00D04188">
              <w:rPr>
                <w:b/>
                <w:color w:val="000000"/>
              </w:rPr>
              <w:t>Rekonvalescentní plazma</w:t>
            </w:r>
            <w:r w:rsidRPr="00D04188">
              <w:rPr>
                <w:color w:val="000000"/>
              </w:rPr>
              <w:t xml:space="preserve"> (optimálně 2 T.U. nebo 5-6 ml/kg).  </w:t>
            </w:r>
            <w:r w:rsidRPr="00D04188">
              <w:t>Dle doporučeného postupu léčby covid-19 RP je navrženo její podání co nejdříve (optimálně do 3 dnů) od rozvoje klinických příznaků vyžadujících hospitalizaci v dávce 5-6 ml/kg tělesné hmotnosti (obvykle 2 T.U.). U RP obsahující nižší titr VNT (160 a méně, resp. ekvivalentní hodnota použitého imunologického protilátkového testu) může být podaný objem vyšší.  Optimální je podání RP pacientům s nízkou hladinou vlastních protilátek. Ke zvážení je podání RP rizikovým nemocnýcm s pozitivitou SARS-CoV-2 ještě před rozvojem klinických příznaků.</w:t>
            </w:r>
          </w:p>
        </w:tc>
      </w:tr>
      <w:tr w:rsidR="00911BB2" w:rsidRPr="00D04188" w:rsidTr="00D04188">
        <w:tc>
          <w:tcPr>
            <w:tcW w:w="675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</w:rPr>
            </w:pPr>
          </w:p>
        </w:tc>
        <w:tc>
          <w:tcPr>
            <w:tcW w:w="8537" w:type="dxa"/>
          </w:tcPr>
          <w:p w:rsidR="00911BB2" w:rsidRPr="00D04188" w:rsidRDefault="00911BB2" w:rsidP="00D04188">
            <w:pPr>
              <w:spacing w:after="0" w:line="240" w:lineRule="auto"/>
              <w:rPr>
                <w:b/>
                <w:color w:val="000000"/>
              </w:rPr>
            </w:pPr>
            <w:r w:rsidRPr="00D04188">
              <w:rPr>
                <w:bCs/>
                <w:color w:val="000000"/>
              </w:rPr>
              <w:t>Podpůrná léčba</w:t>
            </w:r>
            <w:r w:rsidRPr="00D04188">
              <w:rPr>
                <w:b/>
                <w:color w:val="000000"/>
              </w:rPr>
              <w:t xml:space="preserve"> </w:t>
            </w:r>
          </w:p>
          <w:p w:rsidR="00911BB2" w:rsidRPr="00D04188" w:rsidRDefault="00911BB2" w:rsidP="00D04188">
            <w:pPr>
              <w:spacing w:after="0" w:line="240" w:lineRule="auto"/>
              <w:rPr>
                <w:color w:val="000000"/>
              </w:rPr>
            </w:pPr>
            <w:r w:rsidRPr="00D04188">
              <w:rPr>
                <w:b/>
                <w:color w:val="000000"/>
              </w:rPr>
              <w:t>Vitamin C – kyselina askorbová</w:t>
            </w:r>
            <w:r w:rsidRPr="00D04188">
              <w:rPr>
                <w:color w:val="000000"/>
              </w:rPr>
              <w:t xml:space="preserve"> – různá dávkování, např. 12 g v pomalé i.v. infuzi každých 12 hodin 1.-7. den , podpůrný efekt jako antioxidant a kofaktor mnohých fyziologických reakcí.</w:t>
            </w:r>
          </w:p>
          <w:p w:rsidR="00911BB2" w:rsidRPr="00D04188" w:rsidRDefault="00911BB2" w:rsidP="00D0418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D04188">
              <w:rPr>
                <w:b/>
                <w:color w:val="000000"/>
              </w:rPr>
              <w:t xml:space="preserve">Vitamin </w:t>
            </w:r>
            <w:r w:rsidRPr="00D04188">
              <w:rPr>
                <w:color w:val="000000"/>
              </w:rPr>
              <w:t>D (vitamin D3 - Vigantol  2000 I.U. denně nebo</w:t>
            </w:r>
            <w:r w:rsidRPr="00D04188">
              <w:rPr>
                <w:b/>
                <w:color w:val="000000"/>
              </w:rPr>
              <w:t xml:space="preserve"> </w:t>
            </w:r>
            <w:r w:rsidRPr="00D04188">
              <w:rPr>
                <w:color w:val="000000"/>
              </w:rPr>
              <w:t>15000 I.U. 1x týdně)</w:t>
            </w:r>
          </w:p>
        </w:tc>
      </w:tr>
    </w:tbl>
    <w:p w:rsidR="00911BB2" w:rsidRPr="001B2A8F" w:rsidRDefault="00911BB2" w:rsidP="00C1714A"/>
    <w:p w:rsidR="00911BB2" w:rsidRDefault="00911BB2" w:rsidP="00C1714A">
      <w:pPr>
        <w:rPr>
          <w:bCs/>
          <w:color w:val="000000"/>
        </w:rPr>
      </w:pPr>
      <w:r w:rsidRPr="001B2A8F">
        <w:rPr>
          <w:bCs/>
          <w:color w:val="000000"/>
        </w:rPr>
        <w:t>Je žádoucí sběr údajů o všech pacientech léčených v ČR postupy off label a jejich průběžné hodnocení jak na národní, tak celoevropské úrovni s následnou rychlou úpravou současného doporučeného postupu.</w:t>
      </w:r>
    </w:p>
    <w:p w:rsidR="00911BB2" w:rsidRPr="001B2A8F" w:rsidRDefault="00911BB2" w:rsidP="00C1714A">
      <w:pPr>
        <w:rPr>
          <w:bCs/>
          <w:color w:val="000000"/>
        </w:rPr>
      </w:pPr>
      <w:r w:rsidRPr="003950FB">
        <w:rPr>
          <w:bCs/>
          <w:color w:val="000000"/>
        </w:rPr>
        <w:t xml:space="preserve">Poslední aktualizace </w:t>
      </w:r>
      <w:r>
        <w:rPr>
          <w:bCs/>
          <w:color w:val="000000"/>
        </w:rPr>
        <w:t xml:space="preserve">4. 12. </w:t>
      </w:r>
      <w:r w:rsidRPr="003950FB">
        <w:rPr>
          <w:bCs/>
          <w:color w:val="000000"/>
        </w:rPr>
        <w:t>2020</w:t>
      </w:r>
    </w:p>
    <w:p w:rsidR="00911BB2" w:rsidRDefault="00911BB2" w:rsidP="00C1714A">
      <w:pPr>
        <w:rPr>
          <w:b/>
        </w:rPr>
      </w:pPr>
    </w:p>
    <w:p w:rsidR="00911BB2" w:rsidRDefault="00911BB2" w:rsidP="00C1714A">
      <w:pPr>
        <w:rPr>
          <w:b/>
        </w:rPr>
      </w:pPr>
      <w:r>
        <w:rPr>
          <w:b/>
        </w:rPr>
        <w:t>Seznam zkratek</w:t>
      </w:r>
    </w:p>
    <w:p w:rsidR="00911BB2" w:rsidRDefault="00911BB2" w:rsidP="00C1714A">
      <w:r>
        <w:t>A1c, glykovaný hemoglobin</w:t>
      </w:r>
    </w:p>
    <w:p w:rsidR="00911BB2" w:rsidRDefault="00911BB2" w:rsidP="00C1714A">
      <w:r>
        <w:t>ACEi, inhibitory angiotenzin konvertázy</w:t>
      </w:r>
    </w:p>
    <w:p w:rsidR="00911BB2" w:rsidRDefault="00911BB2" w:rsidP="00C1714A">
      <w:r>
        <w:t>ATB, antibiotikum</w:t>
      </w:r>
    </w:p>
    <w:p w:rsidR="00911BB2" w:rsidRDefault="00911BB2" w:rsidP="00C1714A">
      <w:r>
        <w:t>BMI, index tělesné hmotnosti</w:t>
      </w:r>
    </w:p>
    <w:p w:rsidR="00911BB2" w:rsidRDefault="00911BB2" w:rsidP="00C1714A">
      <w:r>
        <w:t>CPK, kreatinfosfokináza</w:t>
      </w:r>
    </w:p>
    <w:p w:rsidR="00911BB2" w:rsidRDefault="00911BB2" w:rsidP="00C1714A">
      <w:r>
        <w:t>ECMO, extrakorporální membránová oxygenace</w:t>
      </w:r>
    </w:p>
    <w:p w:rsidR="00911BB2" w:rsidRDefault="00911BB2" w:rsidP="00C1714A">
      <w:r>
        <w:t>eGFR, odhad glomerurální filtrace</w:t>
      </w:r>
    </w:p>
    <w:p w:rsidR="00911BB2" w:rsidRPr="001A4772" w:rsidRDefault="00911BB2" w:rsidP="00C1714A">
      <w:r w:rsidRPr="001A4772">
        <w:t xml:space="preserve">ELSO, </w:t>
      </w:r>
      <w:r w:rsidRPr="001A4772">
        <w:rPr>
          <w:rStyle w:val="acopre1"/>
          <w:rFonts w:cs="Arial"/>
        </w:rPr>
        <w:t xml:space="preserve">Extracorporeal Life Support </w:t>
      </w:r>
      <w:r w:rsidRPr="001A4772">
        <w:rPr>
          <w:rStyle w:val="acopre1"/>
          <w:rFonts w:cs="Arial"/>
          <w:bCs/>
        </w:rPr>
        <w:t>Organization</w:t>
      </w:r>
    </w:p>
    <w:p w:rsidR="00911BB2" w:rsidRDefault="00911BB2" w:rsidP="00C1714A">
      <w:r>
        <w:t>HFNO, vysokoprůtoková nosní oxygenoterapie</w:t>
      </w:r>
    </w:p>
    <w:p w:rsidR="00911BB2" w:rsidRDefault="00911BB2" w:rsidP="00C1714A">
      <w:r>
        <w:t>HHN, horní hranice normy</w:t>
      </w:r>
    </w:p>
    <w:p w:rsidR="00911BB2" w:rsidRDefault="00911BB2" w:rsidP="00C1714A">
      <w:r>
        <w:t>HRCT, vysoce rozlišovací počítačová tomografie</w:t>
      </w:r>
    </w:p>
    <w:p w:rsidR="00911BB2" w:rsidRDefault="00911BB2" w:rsidP="00C1714A">
      <w:r>
        <w:t>LMWH, low molecular weight heparin</w:t>
      </w:r>
    </w:p>
    <w:p w:rsidR="00911BB2" w:rsidRDefault="00911BB2" w:rsidP="00C1714A">
      <w:r>
        <w:t>NIV, neinvazivní ventilace</w:t>
      </w:r>
    </w:p>
    <w:p w:rsidR="00911BB2" w:rsidRDefault="00911BB2" w:rsidP="00C1714A">
      <w:r>
        <w:t>OTI, orotracheální intubace</w:t>
      </w:r>
    </w:p>
    <w:p w:rsidR="00911BB2" w:rsidRDefault="00911BB2" w:rsidP="00C1714A">
      <w:r w:rsidRPr="00F11332">
        <w:t>PCT, prokalcitonin</w:t>
      </w:r>
    </w:p>
    <w:p w:rsidR="00911BB2" w:rsidRDefault="00911BB2" w:rsidP="00C1714A">
      <w:r>
        <w:t>RP, rekonvalescetní plazma</w:t>
      </w:r>
    </w:p>
    <w:p w:rsidR="00911BB2" w:rsidRPr="00F11332" w:rsidRDefault="00911BB2" w:rsidP="00C1714A">
      <w:r>
        <w:t>TEN, tromboembolická nemoc</w:t>
      </w:r>
    </w:p>
    <w:p w:rsidR="00911BB2" w:rsidRDefault="00911BB2" w:rsidP="00C1714A">
      <w:r w:rsidRPr="00F11332">
        <w:t xml:space="preserve">T.U., </w:t>
      </w:r>
      <w:r>
        <w:t>transfuzní jednotka</w:t>
      </w:r>
    </w:p>
    <w:p w:rsidR="00911BB2" w:rsidRPr="00F11332" w:rsidRDefault="00911BB2" w:rsidP="00C1714A">
      <w:r>
        <w:t>UPV, umělá plicní ventilace</w:t>
      </w:r>
    </w:p>
    <w:p w:rsidR="00911BB2" w:rsidRPr="00F11332" w:rsidRDefault="00911BB2" w:rsidP="00C1714A">
      <w:r w:rsidRPr="00F11332">
        <w:t>VNT, virus neutralizační test</w:t>
      </w:r>
    </w:p>
    <w:p w:rsidR="00911BB2" w:rsidRDefault="00911BB2" w:rsidP="00C1714A">
      <w:pPr>
        <w:rPr>
          <w:b/>
        </w:rPr>
      </w:pPr>
    </w:p>
    <w:p w:rsidR="00911BB2" w:rsidRPr="001B2A8F" w:rsidRDefault="00911BB2" w:rsidP="00C1714A">
      <w:pPr>
        <w:rPr>
          <w:b/>
        </w:rPr>
      </w:pPr>
      <w:r w:rsidRPr="001B2A8F">
        <w:rPr>
          <w:b/>
        </w:rPr>
        <w:t>Literatura</w:t>
      </w:r>
    </w:p>
    <w:p w:rsidR="00911BB2" w:rsidRPr="001B2A8F" w:rsidRDefault="00911BB2" w:rsidP="00C1714A">
      <w:r w:rsidRPr="001B2A8F">
        <w:t xml:space="preserve">1. Zhou F, Yu T, Du R, Fan G, Liu Y, Liu Z, et al. Clinicalcourse and risk factorsfor mortality of adult in patients with COVID-19 in Wuhan, China: a retrospective cohort study. Lancet Published Online First: 11 March 2020. doi:10.1016/S0140-6736(20)30566-3 </w:t>
      </w:r>
    </w:p>
    <w:p w:rsidR="00911BB2" w:rsidRPr="001B2A8F" w:rsidRDefault="00911BB2" w:rsidP="00C1714A">
      <w:r w:rsidRPr="001B2A8F">
        <w:t>2. Agostini ML, Andres EL, Sims AC, Graham RL, Sheahan TP, Lu X, et al. Coronavirus Susceptibility to the</w:t>
      </w:r>
      <w:r>
        <w:t xml:space="preserve"> </w:t>
      </w:r>
      <w:r w:rsidRPr="001B2A8F">
        <w:t xml:space="preserve">AntiviralRemdesivir (GS-5734) Is Mediated by the Viral Polymerase and the Proofreading Exoribonuclease. mBio 2018; 9. doi:10.1128/mBio.00221-18 </w:t>
      </w:r>
    </w:p>
    <w:p w:rsidR="00911BB2" w:rsidRPr="001B2A8F" w:rsidRDefault="00911BB2" w:rsidP="00C1714A">
      <w:r>
        <w:t>3</w:t>
      </w:r>
      <w:r w:rsidRPr="001B2A8F">
        <w:t xml:space="preserve">. Sheahan TP, Sims AC, Leist SR, Schäfer A, Won J, Brown AJ, et al. Comparative therapeutic efficacy of remdesivir and combination lopinavir, ritonavir, and interferon beta against MERS-CoV. Nature Communications 2020; 11. doi:10.1038/s41467-019-13940-6 </w:t>
      </w:r>
    </w:p>
    <w:p w:rsidR="00911BB2" w:rsidRPr="001B2A8F" w:rsidRDefault="00911BB2" w:rsidP="00C1714A">
      <w:r>
        <w:t>4</w:t>
      </w:r>
      <w:r w:rsidRPr="001B2A8F">
        <w:t xml:space="preserve">. Wang M, Cao R, Zhang L, Yang X, Liu J, Xu M, et al. Remdesivir and chloroquine effectively inhibit the recently emerged novel coronavirus (2019-nCoV) in vitro. Cell Res Published Online First: 4 February 2020. doi:10.1038/s41422-020-0282-0 </w:t>
      </w:r>
    </w:p>
    <w:p w:rsidR="00911BB2" w:rsidRPr="001B2A8F" w:rsidRDefault="00911BB2" w:rsidP="00C1714A">
      <w:r>
        <w:t>5</w:t>
      </w:r>
      <w:r w:rsidRPr="001B2A8F">
        <w:t>. Organization WH. Clinical management of severe acute respiratory infection (SARI) when COVID</w:t>
      </w:r>
      <w:r>
        <w:t>-</w:t>
      </w:r>
      <w:r w:rsidRPr="001B2A8F">
        <w:t xml:space="preserve">19 disease is suspected: interim guidance, 13 March 2020. Published Online First: 2020.https://apps.who.int/iris/handle/10665/331446 (accessed 16 Mar2020). </w:t>
      </w:r>
    </w:p>
    <w:p w:rsidR="00911BB2" w:rsidRPr="001B2A8F" w:rsidRDefault="00911BB2" w:rsidP="00C1714A">
      <w:r>
        <w:t>6</w:t>
      </w:r>
      <w:r w:rsidRPr="001B2A8F">
        <w:t>.</w:t>
      </w:r>
      <w:r>
        <w:t xml:space="preserve"> Interim Clinical Guidance for Patients Suspected of/Confirmed with Covid-19 in Belgium</w:t>
      </w:r>
      <w:r w:rsidRPr="001B2A8F">
        <w:t xml:space="preserve"> 19 March 2020; Version 4</w:t>
      </w:r>
    </w:p>
    <w:p w:rsidR="00911BB2" w:rsidRPr="001B2A8F" w:rsidRDefault="00911BB2" w:rsidP="00C171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7. Kluge S</w:t>
      </w:r>
      <w:r w:rsidRPr="001B2A8F">
        <w:rPr>
          <w:rFonts w:cs="Calibri"/>
          <w:color w:val="000000"/>
        </w:rPr>
        <w:t>, Janssens U</w:t>
      </w:r>
      <w:r>
        <w:rPr>
          <w:rFonts w:cs="Calibri"/>
          <w:color w:val="000000"/>
        </w:rPr>
        <w:t>, Welte T, Carstens S, Marx G</w:t>
      </w:r>
      <w:r w:rsidRPr="001B2A8F">
        <w:rPr>
          <w:rFonts w:cs="Calibri"/>
          <w:color w:val="000000"/>
        </w:rPr>
        <w:t>, Karagiannidis Ch. Empfehlungen zur</w:t>
      </w:r>
    </w:p>
    <w:p w:rsidR="00911BB2" w:rsidRPr="001B2A8F" w:rsidRDefault="00911BB2" w:rsidP="00C171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B2A8F">
        <w:rPr>
          <w:rFonts w:cs="Calibri"/>
          <w:color w:val="000000"/>
        </w:rPr>
        <w:t>intensiv</w:t>
      </w:r>
      <w:r>
        <w:rPr>
          <w:rFonts w:cs="Calibri"/>
          <w:color w:val="000000"/>
        </w:rPr>
        <w:t xml:space="preserve"> </w:t>
      </w:r>
      <w:r w:rsidRPr="001B2A8F">
        <w:rPr>
          <w:rFonts w:cs="Calibri"/>
          <w:color w:val="000000"/>
        </w:rPr>
        <w:t>medizinischen Therapie von Patienten mit COVID-19., Med Klin Intensiv med Notfmed</w:t>
      </w:r>
    </w:p>
    <w:p w:rsidR="00911BB2" w:rsidRPr="001B2A8F" w:rsidRDefault="00911BB2" w:rsidP="00C1714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1B2A8F">
        <w:rPr>
          <w:rFonts w:cs="Calibri"/>
          <w:color w:val="000000"/>
        </w:rPr>
        <w:t>https://doi.org/10.1007/s00063-020-00674-3SpringerMedizinVerlagGmbH, ein Teil von Springer Nature 2020</w:t>
      </w:r>
    </w:p>
    <w:p w:rsidR="00911BB2" w:rsidRPr="001B2A8F" w:rsidRDefault="00911BB2" w:rsidP="00C1714A">
      <w:pPr>
        <w:autoSpaceDE w:val="0"/>
        <w:autoSpaceDN w:val="0"/>
        <w:adjustRightInd w:val="0"/>
        <w:spacing w:after="0" w:line="240" w:lineRule="auto"/>
      </w:pPr>
    </w:p>
    <w:p w:rsidR="00911BB2" w:rsidRPr="001B2A8F" w:rsidRDefault="00911BB2" w:rsidP="00C1714A">
      <w:pPr>
        <w:autoSpaceDE w:val="0"/>
        <w:autoSpaceDN w:val="0"/>
        <w:adjustRightInd w:val="0"/>
        <w:spacing w:after="0" w:line="240" w:lineRule="auto"/>
      </w:pPr>
      <w:r>
        <w:t>8</w:t>
      </w:r>
      <w:r w:rsidRPr="001B2A8F">
        <w:t>. http://www.sukl.cz/sukl/prehled-hodnocenych-leciv-na-nemoc-covid-19</w:t>
      </w:r>
    </w:p>
    <w:p w:rsidR="00911BB2" w:rsidRPr="001B2A8F" w:rsidRDefault="00911BB2" w:rsidP="00C1714A">
      <w:pPr>
        <w:autoSpaceDE w:val="0"/>
        <w:autoSpaceDN w:val="0"/>
        <w:adjustRightInd w:val="0"/>
        <w:spacing w:after="0" w:line="240" w:lineRule="auto"/>
      </w:pPr>
    </w:p>
    <w:p w:rsidR="00911BB2" w:rsidRPr="001B2A8F" w:rsidRDefault="00911BB2" w:rsidP="00C1714A">
      <w:r>
        <w:t>9</w:t>
      </w:r>
      <w:r w:rsidRPr="001B2A8F">
        <w:t>. https://www.ersnet.org/covid-19-guidelines-and-recommendations-directory</w:t>
      </w:r>
    </w:p>
    <w:p w:rsidR="00911BB2" w:rsidRDefault="00911BB2" w:rsidP="00C1714A">
      <w:pPr>
        <w:rPr>
          <w:rFonts w:cs="Segoe UI"/>
          <w:color w:val="212121"/>
        </w:rPr>
      </w:pPr>
      <w:r>
        <w:rPr>
          <w:rFonts w:cs="Segoe UI"/>
          <w:color w:val="212121"/>
        </w:rPr>
        <w:t>10</w:t>
      </w:r>
      <w:r w:rsidRPr="001B2A8F">
        <w:rPr>
          <w:rFonts w:cs="Segoe UI"/>
          <w:color w:val="212121"/>
        </w:rPr>
        <w:t xml:space="preserve">. RECOVERY Collaborative Group, Horby P, Lim WS, et al. Dexamethasone in Hospitalized Patients with Covid-19 - Preliminary Report [published online ahead of print, 2020 Jul 17]. </w:t>
      </w:r>
      <w:r w:rsidRPr="001B2A8F">
        <w:rPr>
          <w:rFonts w:cs="Segoe UI"/>
          <w:i/>
          <w:iCs/>
          <w:color w:val="212121"/>
        </w:rPr>
        <w:t>N Engl J Med</w:t>
      </w:r>
      <w:r w:rsidRPr="001B2A8F">
        <w:rPr>
          <w:rFonts w:cs="Segoe UI"/>
          <w:color w:val="212121"/>
        </w:rPr>
        <w:t>. 2020;10.1056/NEJMoa2021436. doi:10.1056/NEJMoa2021436</w:t>
      </w:r>
    </w:p>
    <w:p w:rsidR="00911BB2" w:rsidRPr="001B2A8F" w:rsidRDefault="00911BB2" w:rsidP="00C1714A">
      <w:pPr>
        <w:rPr>
          <w:rFonts w:cs="Segoe UI"/>
          <w:color w:val="212121"/>
        </w:rPr>
      </w:pPr>
      <w:r>
        <w:rPr>
          <w:rFonts w:cs="Segoe UI"/>
          <w:color w:val="212121"/>
        </w:rPr>
        <w:t xml:space="preserve">11. Použití kortikosperoidů u covid-19. Česká společnost intenzivní medicíny. </w:t>
      </w:r>
      <w:r w:rsidRPr="008F426C">
        <w:rPr>
          <w:rFonts w:cs="Segoe UI"/>
          <w:color w:val="212121"/>
        </w:rPr>
        <w:t>https://csim.cz/wp-content/uploads/Kortikosteroidy-u-Covid-19_5.10.2020.pdf</w:t>
      </w:r>
    </w:p>
    <w:p w:rsidR="00911BB2" w:rsidRPr="00145237" w:rsidRDefault="00911BB2" w:rsidP="00C1714A">
      <w:pPr>
        <w:rPr>
          <w:rFonts w:cs="Segoe UI"/>
          <w:color w:val="212121"/>
        </w:rPr>
      </w:pPr>
      <w:r w:rsidRPr="00007F59">
        <w:rPr>
          <w:rFonts w:cs="Segoe UI"/>
          <w:color w:val="212121"/>
        </w:rPr>
        <w:t>1. Beigel JH, Tomashek KM, Dodd LE, et al; ACTT-1 Study Group Members. Remdesivir for the Treatment of Covid-19 - Final Report. N Engl J Med. 2020 Nov 5;383(19):1813-1826. doi: 10.1056/NEJMoa2007764</w:t>
      </w:r>
    </w:p>
    <w:p w:rsidR="00911BB2" w:rsidRPr="00C96452" w:rsidRDefault="00911BB2" w:rsidP="00C1714A">
      <w:pPr>
        <w:rPr>
          <w:rFonts w:cs="Arial"/>
          <w:color w:val="000000"/>
          <w:kern w:val="36"/>
        </w:rPr>
      </w:pPr>
      <w:r>
        <w:rPr>
          <w:rFonts w:cs="Arial"/>
          <w:kern w:val="36"/>
          <w:lang w:val="en-US"/>
        </w:rPr>
        <w:t>13</w:t>
      </w:r>
      <w:r w:rsidRPr="001B2A8F">
        <w:rPr>
          <w:rFonts w:cs="Arial"/>
          <w:kern w:val="36"/>
          <w:lang w:val="en-US"/>
        </w:rPr>
        <w:t xml:space="preserve">. Convalescent plasma associated with reduced COVID-19 mortality in 35,000-plus hospitalized </w:t>
      </w:r>
      <w:r w:rsidRPr="00007F59">
        <w:rPr>
          <w:rFonts w:cs="Arial"/>
          <w:color w:val="000000"/>
          <w:kern w:val="36"/>
          <w:lang w:val="en-US"/>
        </w:rPr>
        <w:t xml:space="preserve">patients. </w:t>
      </w:r>
      <w:hyperlink r:id="rId5" w:history="1">
        <w:r w:rsidRPr="00C96452">
          <w:rPr>
            <w:rStyle w:val="Hyperlink"/>
            <w:rFonts w:cs="Arial"/>
            <w:color w:val="000000"/>
            <w:kern w:val="36"/>
          </w:rPr>
          <w:t>https://newsnetwork.mayoclinic.org/discussion/convalescent-plasma-associated-with-reduced-covid-19-mortality-in-35000-plus-hospitalized-patients/</w:t>
        </w:r>
      </w:hyperlink>
    </w:p>
    <w:p w:rsidR="00911BB2" w:rsidRPr="00007F59" w:rsidRDefault="00911BB2" w:rsidP="00C1714A">
      <w:pPr>
        <w:pStyle w:val="NormalWeb"/>
        <w:spacing w:after="165"/>
        <w:rPr>
          <w:rStyle w:val="Hyperlink"/>
          <w:rFonts w:ascii="Calibri" w:hAnsi="Calibri" w:cs="Calibri"/>
          <w:color w:val="000000"/>
          <w:sz w:val="22"/>
          <w:szCs w:val="22"/>
        </w:rPr>
      </w:pPr>
      <w:r w:rsidRPr="00C96452">
        <w:rPr>
          <w:rFonts w:ascii="Calibri" w:hAnsi="Calibri" w:cs="Arial"/>
          <w:color w:val="000000"/>
          <w:kern w:val="36"/>
          <w:sz w:val="22"/>
          <w:szCs w:val="22"/>
        </w:rPr>
        <w:t>1</w:t>
      </w:r>
      <w:r>
        <w:rPr>
          <w:rFonts w:ascii="Calibri" w:hAnsi="Calibri" w:cs="Arial"/>
          <w:color w:val="000000"/>
          <w:kern w:val="36"/>
          <w:sz w:val="22"/>
          <w:szCs w:val="22"/>
        </w:rPr>
        <w:t>4</w:t>
      </w:r>
      <w:r w:rsidRPr="00C96452">
        <w:rPr>
          <w:rFonts w:ascii="Calibri" w:hAnsi="Calibri" w:cs="Arial"/>
          <w:color w:val="000000"/>
          <w:kern w:val="36"/>
          <w:sz w:val="22"/>
          <w:szCs w:val="22"/>
        </w:rPr>
        <w:t xml:space="preserve">. </w:t>
      </w:r>
      <w:hyperlink r:id="rId6" w:history="1">
        <w:r w:rsidRPr="00007F59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https://www.lkcr.cz/aktuality-322.html?do[loadData]=1&amp;itemKey=cz_100138</w:t>
        </w:r>
      </w:hyperlink>
    </w:p>
    <w:p w:rsidR="00911BB2" w:rsidRPr="00D7565B" w:rsidRDefault="00911BB2" w:rsidP="00C171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73619">
        <w:rPr>
          <w:rStyle w:val="Hyperlink"/>
          <w:rFonts w:cs="Calibri"/>
          <w:color w:val="000000"/>
        </w:rPr>
        <w:t>1</w:t>
      </w:r>
      <w:r>
        <w:rPr>
          <w:rStyle w:val="Hyperlink"/>
          <w:rFonts w:cs="Calibri"/>
          <w:color w:val="000000"/>
        </w:rPr>
        <w:t>5</w:t>
      </w:r>
      <w:r w:rsidRPr="00173619">
        <w:rPr>
          <w:rStyle w:val="Hyperlink"/>
          <w:rFonts w:cs="Calibri"/>
          <w:color w:val="000000"/>
        </w:rPr>
        <w:t>.</w:t>
      </w:r>
      <w:r w:rsidRPr="00173619">
        <w:rPr>
          <w:rStyle w:val="Hyperlink"/>
          <w:rFonts w:cs="Calibri"/>
          <w:color w:val="0563C1"/>
        </w:rPr>
        <w:t xml:space="preserve"> </w:t>
      </w:r>
      <w:r w:rsidRPr="00D7565B">
        <w:rPr>
          <w:rFonts w:cs="Calibri"/>
        </w:rPr>
        <w:t>Doporučený postup České společnosti pro trombózu a hemostázu ČLS JEP</w:t>
      </w:r>
    </w:p>
    <w:p w:rsidR="00911BB2" w:rsidRPr="00D7565B" w:rsidRDefault="00911BB2" w:rsidP="00C1714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D7565B">
        <w:rPr>
          <w:rFonts w:cs="Calibri"/>
        </w:rPr>
        <w:t>verze: COVID_tromboprofylaxe_doporučení_ČSTH_final_2020-11-13 1</w:t>
      </w:r>
    </w:p>
    <w:p w:rsidR="00911BB2" w:rsidRPr="00E90D5B" w:rsidRDefault="00911BB2" w:rsidP="00E90D5B">
      <w:pPr>
        <w:pStyle w:val="NormalWeb"/>
        <w:spacing w:after="165"/>
        <w:rPr>
          <w:rFonts w:ascii="Calibri" w:hAnsi="Calibri" w:cs="Calibri"/>
          <w:sz w:val="22"/>
          <w:szCs w:val="22"/>
        </w:rPr>
      </w:pPr>
      <w:r w:rsidRPr="00D7565B">
        <w:t>ANTITROMBOTICKÁ PROFYLAXE U NEMOCNÝCH S COVID-19</w:t>
      </w:r>
    </w:p>
    <w:p w:rsidR="00911BB2" w:rsidRDefault="00911BB2"/>
    <w:sectPr w:rsidR="00911BB2" w:rsidSect="001A4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DAF"/>
    <w:multiLevelType w:val="hybridMultilevel"/>
    <w:tmpl w:val="81D89E1E"/>
    <w:lvl w:ilvl="0" w:tplc="5CBC1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6D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23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89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C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CC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AA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4253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22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720E"/>
    <w:multiLevelType w:val="hybridMultilevel"/>
    <w:tmpl w:val="B3B24D14"/>
    <w:lvl w:ilvl="0" w:tplc="899A6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07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46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547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C7F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CA8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CA6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4A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E8D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E3FC3"/>
    <w:multiLevelType w:val="hybridMultilevel"/>
    <w:tmpl w:val="C870F0F6"/>
    <w:lvl w:ilvl="0" w:tplc="995CD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2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EC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6F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EE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66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80A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42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69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E0F65"/>
    <w:multiLevelType w:val="hybridMultilevel"/>
    <w:tmpl w:val="0A12B8C4"/>
    <w:lvl w:ilvl="0" w:tplc="E954D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5A8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05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E6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AA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A5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ED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E4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B47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94D98"/>
    <w:multiLevelType w:val="hybridMultilevel"/>
    <w:tmpl w:val="534A9938"/>
    <w:lvl w:ilvl="0" w:tplc="F1A04F0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14A"/>
    <w:rsid w:val="00007F59"/>
    <w:rsid w:val="00103209"/>
    <w:rsid w:val="00145237"/>
    <w:rsid w:val="00173619"/>
    <w:rsid w:val="001A4772"/>
    <w:rsid w:val="001B2A8F"/>
    <w:rsid w:val="002D464C"/>
    <w:rsid w:val="003950FB"/>
    <w:rsid w:val="003B379B"/>
    <w:rsid w:val="005128BB"/>
    <w:rsid w:val="005924EF"/>
    <w:rsid w:val="006B4A83"/>
    <w:rsid w:val="008F426C"/>
    <w:rsid w:val="00902D62"/>
    <w:rsid w:val="00911BB2"/>
    <w:rsid w:val="00AD565B"/>
    <w:rsid w:val="00B71568"/>
    <w:rsid w:val="00C0113F"/>
    <w:rsid w:val="00C1714A"/>
    <w:rsid w:val="00C331F3"/>
    <w:rsid w:val="00C96452"/>
    <w:rsid w:val="00D04188"/>
    <w:rsid w:val="00D61D00"/>
    <w:rsid w:val="00D7565B"/>
    <w:rsid w:val="00DC3714"/>
    <w:rsid w:val="00E90D5B"/>
    <w:rsid w:val="00F11332"/>
    <w:rsid w:val="00F1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4A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1714A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1714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1714A"/>
    <w:rPr>
      <w:rFonts w:cs="Times New Roman"/>
      <w:color w:val="0000FF"/>
      <w:u w:val="single"/>
    </w:rPr>
  </w:style>
  <w:style w:type="character" w:customStyle="1" w:styleId="acopre1">
    <w:name w:val="acopre1"/>
    <w:basedOn w:val="DefaultParagraphFont"/>
    <w:uiPriority w:val="99"/>
    <w:rsid w:val="001A47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kcr.cz/aktuality-322.html?do%5bloadData%5d=1&amp;itemKey=cz_100138" TargetMode="External"/><Relationship Id="rId5" Type="http://schemas.openxmlformats.org/officeDocument/2006/relationships/hyperlink" Target="https://newsnetwork.mayoclinic.org/discussion/convalescent-plasma-associated-with-reduced-covid-19-mortality-in-35000-plus-hospitalized-pati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1998</Words>
  <Characters>11790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Doporučený  postup SIL ČLS JEP léčby pacientů s onemocněním covid-19</dc:title>
  <dc:subject/>
  <dc:creator>MUDr. Kümpel Petr</dc:creator>
  <cp:keywords/>
  <dc:description/>
  <cp:lastModifiedBy>Hanuš Rozsypal</cp:lastModifiedBy>
  <cp:revision>2</cp:revision>
  <dcterms:created xsi:type="dcterms:W3CDTF">2020-12-14T22:27:00Z</dcterms:created>
  <dcterms:modified xsi:type="dcterms:W3CDTF">2020-12-14T22:27:00Z</dcterms:modified>
</cp:coreProperties>
</file>