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88" w:rsidRDefault="007250F2" w:rsidP="00F76AA7">
      <w:pPr>
        <w:rPr>
          <w:b/>
          <w:noProof/>
          <w:sz w:val="24"/>
          <w:szCs w:val="24"/>
        </w:rPr>
      </w:pPr>
      <w:r w:rsidRPr="007250F2">
        <w:rPr>
          <w:b/>
          <w:noProof/>
          <w:sz w:val="24"/>
          <w:szCs w:val="24"/>
        </w:rPr>
        <w:t>Doporučený  postup léčby pacientů s prokázanou infekcí COVID 19</w:t>
      </w:r>
    </w:p>
    <w:p w:rsidR="00D73B5F" w:rsidRPr="00D73B5F" w:rsidRDefault="00D73B5F" w:rsidP="00F76AA7">
      <w:pPr>
        <w:rPr>
          <w:b/>
          <w:noProof/>
          <w:sz w:val="24"/>
          <w:szCs w:val="24"/>
        </w:rPr>
      </w:pPr>
    </w:p>
    <w:p w:rsidR="007250F2" w:rsidRPr="00C62B8D" w:rsidRDefault="007250F2" w:rsidP="00F76AA7">
      <w:pPr>
        <w:rPr>
          <w:b/>
        </w:rPr>
      </w:pPr>
      <w:r w:rsidRPr="00C62B8D">
        <w:rPr>
          <w:b/>
        </w:rPr>
        <w:t xml:space="preserve">Pacienti </w:t>
      </w:r>
      <w:r w:rsidR="00ED0CEA" w:rsidRPr="00C62B8D">
        <w:rPr>
          <w:b/>
        </w:rPr>
        <w:t>splňující kritéria pro domácí léčbu</w:t>
      </w:r>
    </w:p>
    <w:p w:rsidR="00007188" w:rsidRPr="00C62B8D" w:rsidRDefault="00007188" w:rsidP="00F76AA7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C62B8D" w:rsidRPr="00C62B8D" w:rsidTr="00F55DE3">
        <w:tc>
          <w:tcPr>
            <w:tcW w:w="675" w:type="dxa"/>
          </w:tcPr>
          <w:p w:rsidR="00007188" w:rsidRPr="00C62B8D" w:rsidRDefault="00007188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F55DE3" w:rsidRPr="00C62B8D" w:rsidRDefault="00F55DE3" w:rsidP="00F55DE3">
            <w:r w:rsidRPr="00C62B8D">
              <w:t xml:space="preserve">Izolace, klidový režim, symptomatická </w:t>
            </w:r>
            <w:proofErr w:type="gramStart"/>
            <w:r w:rsidRPr="00C62B8D">
              <w:t>léčba : antipyretika</w:t>
            </w:r>
            <w:proofErr w:type="gramEnd"/>
            <w:r w:rsidR="00CD07BF">
              <w:t xml:space="preserve"> (preferovat paracetamol)</w:t>
            </w:r>
            <w:r w:rsidRPr="00C62B8D">
              <w:t xml:space="preserve">, </w:t>
            </w:r>
            <w:proofErr w:type="spellStart"/>
            <w:r w:rsidRPr="00C62B8D">
              <w:t>mukolytika</w:t>
            </w:r>
            <w:proofErr w:type="spellEnd"/>
            <w:r w:rsidRPr="00C62B8D">
              <w:t xml:space="preserve"> (ACC apod.), léčba GIT potíží , ev. </w:t>
            </w:r>
            <w:proofErr w:type="spellStart"/>
            <w:r w:rsidRPr="00C62B8D">
              <w:t>antitussika</w:t>
            </w:r>
            <w:proofErr w:type="spellEnd"/>
          </w:p>
          <w:p w:rsidR="00007188" w:rsidRPr="00C62B8D" w:rsidRDefault="00007188" w:rsidP="00F76AA7">
            <w:pPr>
              <w:rPr>
                <w:b/>
              </w:rPr>
            </w:pPr>
          </w:p>
        </w:tc>
      </w:tr>
      <w:tr w:rsidR="00C62B8D" w:rsidRPr="00C62B8D" w:rsidTr="00F55DE3">
        <w:tc>
          <w:tcPr>
            <w:tcW w:w="675" w:type="dxa"/>
          </w:tcPr>
          <w:p w:rsidR="00007188" w:rsidRPr="00C62B8D" w:rsidRDefault="00007188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F55DE3" w:rsidRPr="00C62B8D" w:rsidRDefault="00F55DE3" w:rsidP="00F55DE3">
            <w:r w:rsidRPr="00C62B8D">
              <w:t xml:space="preserve">2x denně sledovat teplotu, puls, dechovou frekvenci, dle stavu kontaktovat </w:t>
            </w:r>
            <w:proofErr w:type="gramStart"/>
            <w:r w:rsidRPr="00C62B8D">
              <w:t>lékaře , ev.</w:t>
            </w:r>
            <w:proofErr w:type="gramEnd"/>
            <w:r w:rsidRPr="00C62B8D">
              <w:t xml:space="preserve"> pravidelné telefonické kontroly lékařem</w:t>
            </w:r>
          </w:p>
          <w:p w:rsidR="00007188" w:rsidRPr="00C62B8D" w:rsidRDefault="00007188" w:rsidP="00F76AA7">
            <w:pPr>
              <w:rPr>
                <w:b/>
              </w:rPr>
            </w:pPr>
          </w:p>
        </w:tc>
      </w:tr>
    </w:tbl>
    <w:p w:rsidR="00007188" w:rsidRPr="00C62B8D" w:rsidRDefault="00007188" w:rsidP="00F76AA7">
      <w:pPr>
        <w:rPr>
          <w:b/>
        </w:rPr>
      </w:pPr>
    </w:p>
    <w:p w:rsidR="00D56C7F" w:rsidRPr="00C62B8D" w:rsidRDefault="00D56C7F" w:rsidP="00F76AA7">
      <w:pPr>
        <w:rPr>
          <w:b/>
        </w:rPr>
      </w:pPr>
      <w:r w:rsidRPr="00C62B8D">
        <w:rPr>
          <w:b/>
        </w:rPr>
        <w:t>Hospitalizovaný pacient</w:t>
      </w:r>
    </w:p>
    <w:p w:rsidR="00F55DE3" w:rsidRPr="00C62B8D" w:rsidRDefault="00F55DE3" w:rsidP="00F76AA7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C62B8D" w:rsidRPr="00C62B8D" w:rsidTr="00EB62F4">
        <w:tc>
          <w:tcPr>
            <w:tcW w:w="9212" w:type="dxa"/>
            <w:gridSpan w:val="2"/>
          </w:tcPr>
          <w:p w:rsidR="00F55DE3" w:rsidRPr="00C62B8D" w:rsidRDefault="00F55DE3" w:rsidP="00F76AA7">
            <w:pPr>
              <w:rPr>
                <w:b/>
              </w:rPr>
            </w:pPr>
            <w:r w:rsidRPr="00C62B8D">
              <w:rPr>
                <w:b/>
              </w:rPr>
              <w:t>Všichni hospitalizovaní pacienti</w:t>
            </w:r>
          </w:p>
        </w:tc>
      </w:tr>
      <w:tr w:rsidR="00C62B8D" w:rsidRPr="00C62B8D" w:rsidTr="00F55DE3">
        <w:tc>
          <w:tcPr>
            <w:tcW w:w="675" w:type="dxa"/>
          </w:tcPr>
          <w:p w:rsidR="00F55DE3" w:rsidRPr="00C62B8D" w:rsidRDefault="00F55DE3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F55DE3" w:rsidRPr="00C62B8D" w:rsidRDefault="00F55DE3" w:rsidP="00F55DE3">
            <w:r w:rsidRPr="00C62B8D">
              <w:t xml:space="preserve">– posouzení chronicky užívaných léků – </w:t>
            </w:r>
            <w:proofErr w:type="spellStart"/>
            <w:r w:rsidRPr="00C62B8D">
              <w:t>ACEi</w:t>
            </w:r>
            <w:proofErr w:type="spellEnd"/>
            <w:r w:rsidRPr="00C62B8D">
              <w:t xml:space="preserve"> ponechat (vysadit jen při hypotenzi), </w:t>
            </w:r>
            <w:proofErr w:type="spellStart"/>
            <w:r w:rsidRPr="00C62B8D">
              <w:t>statiny</w:t>
            </w:r>
            <w:proofErr w:type="spellEnd"/>
            <w:r w:rsidRPr="00C62B8D">
              <w:t xml:space="preserve"> ponechat (vysadit při elevaci ALT nad 3x),</w:t>
            </w:r>
            <w:r w:rsidRPr="00C62B8D">
              <w:rPr>
                <w:highlight w:val="yellow"/>
              </w:rPr>
              <w:t xml:space="preserve"> </w:t>
            </w:r>
            <w:r w:rsidR="00DB2447">
              <w:t>při splnění indikačních krité</w:t>
            </w:r>
            <w:r w:rsidRPr="00C62B8D">
              <w:t xml:space="preserve">rií </w:t>
            </w:r>
            <w:proofErr w:type="spellStart"/>
            <w:r w:rsidRPr="00C62B8D">
              <w:t>statinů</w:t>
            </w:r>
            <w:proofErr w:type="spellEnd"/>
            <w:r w:rsidRPr="00C62B8D">
              <w:t xml:space="preserve"> u pacientů, kteří je nedostávají, zvážit jejich nasazení (</w:t>
            </w:r>
            <w:proofErr w:type="spellStart"/>
            <w:r w:rsidRPr="00C62B8D">
              <w:t>atorvastatin</w:t>
            </w:r>
            <w:proofErr w:type="spellEnd"/>
            <w:r w:rsidRPr="00C62B8D">
              <w:t xml:space="preserve"> 40 mg denně nebo </w:t>
            </w:r>
            <w:proofErr w:type="spellStart"/>
            <w:r w:rsidRPr="00C62B8D">
              <w:t>rosuvastatin</w:t>
            </w:r>
            <w:proofErr w:type="spellEnd"/>
            <w:r w:rsidRPr="00C62B8D">
              <w:t xml:space="preserve"> 20 mg; při interakcích konzultace s kardiologem), zvážit redukci či </w:t>
            </w:r>
            <w:proofErr w:type="gramStart"/>
            <w:r w:rsidRPr="00C62B8D">
              <w:t xml:space="preserve">vysazení  </w:t>
            </w:r>
            <w:proofErr w:type="spellStart"/>
            <w:r w:rsidRPr="00C62B8D">
              <w:t>imunosupresiv</w:t>
            </w:r>
            <w:proofErr w:type="spellEnd"/>
            <w:proofErr w:type="gramEnd"/>
            <w:r w:rsidR="00CD07BF">
              <w:t xml:space="preserve"> a</w:t>
            </w:r>
            <w:r w:rsidRPr="00C62B8D">
              <w:t xml:space="preserve"> kort</w:t>
            </w:r>
            <w:r w:rsidR="00CD07BF">
              <w:t>ikoterapie (zejména inhalační</w:t>
            </w:r>
            <w:r w:rsidRPr="00C62B8D">
              <w:t xml:space="preserve">) </w:t>
            </w:r>
          </w:p>
          <w:p w:rsidR="00F55DE3" w:rsidRPr="00C62B8D" w:rsidRDefault="00F55DE3" w:rsidP="00F76AA7">
            <w:pPr>
              <w:rPr>
                <w:b/>
              </w:rPr>
            </w:pPr>
          </w:p>
        </w:tc>
      </w:tr>
      <w:tr w:rsidR="00C62B8D" w:rsidRPr="00C62B8D" w:rsidTr="00F55DE3">
        <w:tc>
          <w:tcPr>
            <w:tcW w:w="675" w:type="dxa"/>
          </w:tcPr>
          <w:p w:rsidR="00F55DE3" w:rsidRPr="00C62B8D" w:rsidRDefault="00F55DE3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F55DE3" w:rsidRPr="00C62B8D" w:rsidRDefault="00F55DE3" w:rsidP="00F55DE3">
            <w:r w:rsidRPr="00C62B8D">
              <w:t xml:space="preserve">Při známkách bakteriální infekce širokospektrá ATB – </w:t>
            </w:r>
            <w:proofErr w:type="spellStart"/>
            <w:r w:rsidRPr="00C62B8D">
              <w:t>Azitromycin</w:t>
            </w:r>
            <w:proofErr w:type="spellEnd"/>
            <w:r w:rsidRPr="00C62B8D">
              <w:t xml:space="preserve">, cefalosporiny III. </w:t>
            </w:r>
            <w:proofErr w:type="spellStart"/>
            <w:proofErr w:type="gramStart"/>
            <w:r w:rsidRPr="00C62B8D">
              <w:t>i.v</w:t>
            </w:r>
            <w:proofErr w:type="spellEnd"/>
            <w:r w:rsidRPr="00C62B8D">
              <w:t>.</w:t>
            </w:r>
            <w:proofErr w:type="gramEnd"/>
            <w:r w:rsidRPr="00C62B8D">
              <w:t xml:space="preserve">, </w:t>
            </w:r>
            <w:proofErr w:type="spellStart"/>
            <w:r w:rsidRPr="00C62B8D">
              <w:t>tazocin</w:t>
            </w:r>
            <w:proofErr w:type="spellEnd"/>
            <w:r w:rsidRPr="00C62B8D">
              <w:t>, optimálně po konzultaci s ATB centrem</w:t>
            </w:r>
          </w:p>
          <w:p w:rsidR="00F55DE3" w:rsidRPr="00C62B8D" w:rsidRDefault="00F55DE3" w:rsidP="00F76AA7">
            <w:pPr>
              <w:rPr>
                <w:b/>
              </w:rPr>
            </w:pPr>
          </w:p>
        </w:tc>
      </w:tr>
      <w:tr w:rsidR="00C62B8D" w:rsidRPr="00C62B8D" w:rsidTr="00F55DE3">
        <w:tc>
          <w:tcPr>
            <w:tcW w:w="675" w:type="dxa"/>
          </w:tcPr>
          <w:p w:rsidR="00F55DE3" w:rsidRPr="00C62B8D" w:rsidRDefault="00F55DE3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F55DE3" w:rsidRPr="00C62B8D" w:rsidRDefault="00F55DE3" w:rsidP="00F55DE3">
            <w:r w:rsidRPr="00C62B8D">
              <w:rPr>
                <w:b/>
              </w:rPr>
              <w:t xml:space="preserve">Laboratorní a pomocná vyšetření: </w:t>
            </w:r>
            <w:r w:rsidRPr="00C62B8D">
              <w:t>krevní obraz a diferenciální krevní obraz s počtem lymfocytů, CRP,</w:t>
            </w:r>
            <w:r w:rsidR="00DB2447">
              <w:t xml:space="preserve"> </w:t>
            </w:r>
            <w:r w:rsidRPr="00C62B8D">
              <w:t xml:space="preserve">laktát, hemokultura, kreatin </w:t>
            </w:r>
            <w:proofErr w:type="spellStart"/>
            <w:r w:rsidRPr="00C62B8D">
              <w:t>fosfokináza</w:t>
            </w:r>
            <w:proofErr w:type="spellEnd"/>
            <w:r w:rsidRPr="00C62B8D">
              <w:t xml:space="preserve">, D-dimery, </w:t>
            </w:r>
            <w:proofErr w:type="spellStart"/>
            <w:r w:rsidRPr="00C62B8D">
              <w:t>ferritin</w:t>
            </w:r>
            <w:proofErr w:type="spellEnd"/>
            <w:r w:rsidRPr="00C62B8D">
              <w:t>, LDH, ALT, AST, bilirubin, urea, kreatinin, minerály,</w:t>
            </w:r>
            <w:r w:rsidR="00CD07BF">
              <w:t xml:space="preserve"> </w:t>
            </w:r>
            <w:proofErr w:type="spellStart"/>
            <w:r w:rsidR="00CD07BF">
              <w:t>hs</w:t>
            </w:r>
            <w:proofErr w:type="spellEnd"/>
            <w:r w:rsidR="00CD07BF">
              <w:t>-</w:t>
            </w:r>
            <w:r w:rsidR="005D1183">
              <w:t>troponin</w:t>
            </w:r>
            <w:r w:rsidR="00CD07BF">
              <w:t xml:space="preserve"> T</w:t>
            </w:r>
            <w:r w:rsidR="005D1183">
              <w:t>,</w:t>
            </w:r>
            <w:r w:rsidRPr="00C62B8D">
              <w:t xml:space="preserve"> EKG (vždy a u všech hospitalizovaných nehledě na věk a komorbidity), RTG S+P či při dušnosti, těžkém průběhu nebo zhoršení stavu HR-CT (HR-CT má 88% senzitivitu ale specificitu pod 30 %; na druhou stranu rozsah nálezu souvisí s tíží průběhu – tj. jedním z kritérií těžkého průběhu je více než 50% postižení plicní tkáně).</w:t>
            </w:r>
          </w:p>
          <w:p w:rsidR="00F55DE3" w:rsidRPr="00C62B8D" w:rsidRDefault="00F55DE3" w:rsidP="00F76AA7">
            <w:pPr>
              <w:rPr>
                <w:b/>
              </w:rPr>
            </w:pPr>
          </w:p>
        </w:tc>
      </w:tr>
      <w:tr w:rsidR="00C62B8D" w:rsidRPr="00C62B8D" w:rsidTr="00C95AC0">
        <w:tc>
          <w:tcPr>
            <w:tcW w:w="9212" w:type="dxa"/>
            <w:gridSpan w:val="2"/>
          </w:tcPr>
          <w:p w:rsidR="00F55DE3" w:rsidRPr="00C62B8D" w:rsidRDefault="00F55DE3" w:rsidP="00F55DE3">
            <w:pPr>
              <w:rPr>
                <w:b/>
              </w:rPr>
            </w:pPr>
            <w:r w:rsidRPr="00C62B8D">
              <w:rPr>
                <w:b/>
              </w:rPr>
              <w:t xml:space="preserve">Pacienti bez rizikových faktorů s mírným či středně těžkým onemocněním </w:t>
            </w:r>
          </w:p>
          <w:p w:rsidR="00F55DE3" w:rsidRPr="00C62B8D" w:rsidRDefault="00F55DE3" w:rsidP="00F76AA7">
            <w:pPr>
              <w:rPr>
                <w:b/>
              </w:rPr>
            </w:pPr>
          </w:p>
        </w:tc>
      </w:tr>
      <w:tr w:rsidR="00C62B8D" w:rsidRPr="00C62B8D" w:rsidTr="00F55DE3">
        <w:tc>
          <w:tcPr>
            <w:tcW w:w="675" w:type="dxa"/>
          </w:tcPr>
          <w:p w:rsidR="00F55DE3" w:rsidRPr="00C62B8D" w:rsidRDefault="00F55DE3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F55DE3" w:rsidRPr="00C62B8D" w:rsidRDefault="00F55DE3" w:rsidP="00F55DE3">
            <w:r w:rsidRPr="00C62B8D">
              <w:t>Symptomatická léčba</w:t>
            </w:r>
          </w:p>
          <w:p w:rsidR="00F55DE3" w:rsidRPr="00C62B8D" w:rsidRDefault="00F55DE3" w:rsidP="00F76AA7">
            <w:pPr>
              <w:rPr>
                <w:b/>
              </w:rPr>
            </w:pPr>
          </w:p>
        </w:tc>
      </w:tr>
      <w:tr w:rsidR="00F55DE3" w:rsidRPr="00C62B8D" w:rsidTr="00F55DE3">
        <w:tc>
          <w:tcPr>
            <w:tcW w:w="675" w:type="dxa"/>
          </w:tcPr>
          <w:p w:rsidR="00F55DE3" w:rsidRPr="00C62B8D" w:rsidRDefault="00F55DE3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F55DE3" w:rsidRPr="00C62B8D" w:rsidRDefault="00F55DE3" w:rsidP="00F55DE3">
            <w:r w:rsidRPr="00C62B8D">
              <w:t xml:space="preserve">Sledovat rizikové faktory </w:t>
            </w:r>
            <w:r w:rsidR="006119F0">
              <w:t xml:space="preserve">(dechová frekvence, puls, saturace, </w:t>
            </w:r>
            <w:proofErr w:type="gramStart"/>
            <w:r w:rsidR="006119F0">
              <w:t>CRP..)</w:t>
            </w:r>
            <w:proofErr w:type="gramEnd"/>
          </w:p>
          <w:p w:rsidR="00F55DE3" w:rsidRPr="00C62B8D" w:rsidRDefault="00F55DE3" w:rsidP="00F76AA7">
            <w:pPr>
              <w:rPr>
                <w:b/>
              </w:rPr>
            </w:pPr>
          </w:p>
        </w:tc>
      </w:tr>
      <w:tr w:rsidR="00C62B8D" w:rsidRPr="00C62B8D" w:rsidTr="000F3292">
        <w:tc>
          <w:tcPr>
            <w:tcW w:w="9212" w:type="dxa"/>
            <w:gridSpan w:val="2"/>
          </w:tcPr>
          <w:p w:rsidR="00855660" w:rsidRPr="00C62B8D" w:rsidRDefault="00855660" w:rsidP="00855660">
            <w:pPr>
              <w:rPr>
                <w:b/>
              </w:rPr>
            </w:pPr>
            <w:r w:rsidRPr="00C62B8D">
              <w:rPr>
                <w:b/>
              </w:rPr>
              <w:t>Pacienti s mírným či středně těžkým onemocněním a rizikovými faktory</w:t>
            </w:r>
          </w:p>
          <w:p w:rsidR="00855660" w:rsidRPr="00C62B8D" w:rsidRDefault="00855660" w:rsidP="00F76AA7">
            <w:pPr>
              <w:rPr>
                <w:b/>
              </w:rPr>
            </w:pPr>
          </w:p>
        </w:tc>
      </w:tr>
      <w:tr w:rsidR="00F55DE3" w:rsidRPr="00C62B8D" w:rsidTr="00F55DE3">
        <w:tc>
          <w:tcPr>
            <w:tcW w:w="675" w:type="dxa"/>
          </w:tcPr>
          <w:p w:rsidR="00F55DE3" w:rsidRPr="00C62B8D" w:rsidRDefault="00F55DE3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855660" w:rsidRPr="00C62B8D" w:rsidRDefault="00855660" w:rsidP="00855660">
            <w:r w:rsidRPr="00C62B8D">
              <w:t>věk nad 55 let, HIV+, diabetes s A1c &gt;</w:t>
            </w:r>
            <w:r w:rsidR="00CD07BF">
              <w:t xml:space="preserve"> 7,</w:t>
            </w:r>
            <w:r w:rsidRPr="00C62B8D">
              <w:t>6</w:t>
            </w:r>
            <w:r w:rsidR="00CD07BF">
              <w:t xml:space="preserve"> </w:t>
            </w:r>
            <w:r w:rsidRPr="00C62B8D">
              <w:t>%, hypertenze, plicní či kardiovaskulární choroba, renální insuficience, imunosupresivní léčba či dechová frekvence nad 2</w:t>
            </w:r>
            <w:r w:rsidR="00CD07BF">
              <w:t xml:space="preserve">4, puls nad 125, saturace pod 93 </w:t>
            </w:r>
            <w:r w:rsidRPr="00C62B8D">
              <w:t xml:space="preserve">% bez podpory O2, CRP nad 100, elevace troponinu, CPK nad dvojnásobek normy, D-dimery nad 1000, absolutní počet lymfocytů pod </w:t>
            </w:r>
            <w:proofErr w:type="gramStart"/>
            <w:r w:rsidRPr="00C62B8D">
              <w:t xml:space="preserve">0,8 , </w:t>
            </w:r>
            <w:proofErr w:type="spellStart"/>
            <w:r w:rsidRPr="00C62B8D">
              <w:t>ferritin</w:t>
            </w:r>
            <w:proofErr w:type="spellEnd"/>
            <w:proofErr w:type="gramEnd"/>
            <w:r w:rsidRPr="00C62B8D">
              <w:t xml:space="preserve"> nad 300</w:t>
            </w:r>
          </w:p>
          <w:p w:rsidR="00F55DE3" w:rsidRPr="00C62B8D" w:rsidRDefault="00F55DE3" w:rsidP="00F76AA7">
            <w:pPr>
              <w:rPr>
                <w:b/>
              </w:rPr>
            </w:pPr>
          </w:p>
        </w:tc>
      </w:tr>
      <w:tr w:rsidR="00F55DE3" w:rsidRPr="00C62B8D" w:rsidTr="00F55DE3">
        <w:tc>
          <w:tcPr>
            <w:tcW w:w="675" w:type="dxa"/>
          </w:tcPr>
          <w:p w:rsidR="00F55DE3" w:rsidRPr="00C62B8D" w:rsidRDefault="00F55DE3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855660" w:rsidRPr="00C62B8D" w:rsidRDefault="00855660" w:rsidP="00855660">
            <w:r w:rsidRPr="00C62B8D">
              <w:t xml:space="preserve">Sledování vitálních funkcí 4x denně, O2 intermitentně do 5 </w:t>
            </w:r>
            <w:proofErr w:type="gramStart"/>
            <w:r w:rsidRPr="00C62B8D">
              <w:t>l/min ( vyšší</w:t>
            </w:r>
            <w:proofErr w:type="gramEnd"/>
            <w:r w:rsidRPr="00C62B8D">
              <w:t xml:space="preserve"> průtok může </w:t>
            </w:r>
            <w:r w:rsidRPr="00C62B8D">
              <w:lastRenderedPageBreak/>
              <w:t xml:space="preserve">zvyšovat kontaminaci  prostředí ), </w:t>
            </w:r>
            <w:proofErr w:type="spellStart"/>
            <w:r w:rsidRPr="00C62B8D">
              <w:t>mukolytika</w:t>
            </w:r>
            <w:proofErr w:type="spellEnd"/>
            <w:r w:rsidRPr="00C62B8D">
              <w:t xml:space="preserve"> dle potřeby (</w:t>
            </w:r>
            <w:r w:rsidRPr="00C62B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ACC 300 mg 3× denně, apod.)</w:t>
            </w:r>
          </w:p>
          <w:p w:rsidR="00F55DE3" w:rsidRPr="00C62B8D" w:rsidRDefault="00F55DE3" w:rsidP="00F76AA7">
            <w:pPr>
              <w:rPr>
                <w:b/>
              </w:rPr>
            </w:pPr>
          </w:p>
        </w:tc>
      </w:tr>
      <w:tr w:rsidR="00855660" w:rsidRPr="00C62B8D" w:rsidTr="00F55DE3">
        <w:tc>
          <w:tcPr>
            <w:tcW w:w="675" w:type="dxa"/>
          </w:tcPr>
          <w:p w:rsidR="00855660" w:rsidRPr="00C62B8D" w:rsidRDefault="00855660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855660" w:rsidRPr="00C62B8D" w:rsidRDefault="006119F0" w:rsidP="00855660">
            <w:pPr>
              <w:rPr>
                <w:i/>
              </w:rPr>
            </w:pPr>
            <w:proofErr w:type="gramStart"/>
            <w:r>
              <w:rPr>
                <w:i/>
              </w:rPr>
              <w:t>Zvažovaná  léčba</w:t>
            </w:r>
            <w:proofErr w:type="gramEnd"/>
            <w:r>
              <w:rPr>
                <w:i/>
              </w:rPr>
              <w:t xml:space="preserve">, pro kterou však </w:t>
            </w:r>
            <w:r w:rsidR="00855660" w:rsidRPr="00C62B8D">
              <w:rPr>
                <w:i/>
              </w:rPr>
              <w:t xml:space="preserve"> chybí dostatek validních dat a  zůstává  </w:t>
            </w:r>
            <w:r>
              <w:rPr>
                <w:i/>
              </w:rPr>
              <w:t xml:space="preserve">jednoznačně </w:t>
            </w:r>
            <w:proofErr w:type="spellStart"/>
            <w:r w:rsidR="00855660" w:rsidRPr="00C62B8D">
              <w:rPr>
                <w:i/>
              </w:rPr>
              <w:t>off</w:t>
            </w:r>
            <w:proofErr w:type="spellEnd"/>
            <w:r w:rsidR="00855660" w:rsidRPr="00C62B8D">
              <w:rPr>
                <w:i/>
              </w:rPr>
              <w:t xml:space="preserve"> label:</w:t>
            </w:r>
          </w:p>
          <w:p w:rsidR="00855660" w:rsidRPr="00C62B8D" w:rsidRDefault="00855660" w:rsidP="00855660">
            <w:pPr>
              <w:rPr>
                <w:i/>
              </w:rPr>
            </w:pPr>
          </w:p>
          <w:p w:rsidR="00855660" w:rsidRPr="00881592" w:rsidRDefault="00855660" w:rsidP="00855660">
            <w:pPr>
              <w:rPr>
                <w:color w:val="FF0000"/>
              </w:rPr>
            </w:pPr>
            <w:proofErr w:type="spellStart"/>
            <w:r w:rsidRPr="00C62B8D">
              <w:t>Hydroxychlorochin</w:t>
            </w:r>
            <w:proofErr w:type="spellEnd"/>
            <w:r w:rsidRPr="00C62B8D">
              <w:t xml:space="preserve">  1. den 400mg 2x </w:t>
            </w:r>
            <w:proofErr w:type="gramStart"/>
            <w:r w:rsidRPr="00C62B8D">
              <w:t>denně , 2.-5. den</w:t>
            </w:r>
            <w:proofErr w:type="gramEnd"/>
            <w:r w:rsidRPr="00C62B8D">
              <w:t xml:space="preserve"> 200mg 2x denně (pokud není kontraindikace – EKG-QT interval nad 500ms, porfyrie, myastenie, retinální porucha, epilepsie, lékové interakce) ev. při nedostupnosti  chlorochin. Dle možnosti denně sledovat EKG, zejména u pacientů s PQ intervalem 450-500ms</w:t>
            </w:r>
            <w:r w:rsidR="00881592">
              <w:t xml:space="preserve">. </w:t>
            </w:r>
            <w:r w:rsidR="00881592" w:rsidRPr="00881592">
              <w:rPr>
                <w:color w:val="FF0000"/>
              </w:rPr>
              <w:t xml:space="preserve">Ke zvážení je provedení PCR vyšetření 6. den, v případě positivity a dle klinického stavu prodloužení terapie do 7. </w:t>
            </w:r>
            <w:proofErr w:type="gramStart"/>
            <w:r w:rsidR="00881592">
              <w:rPr>
                <w:color w:val="FF0000"/>
              </w:rPr>
              <w:t>d</w:t>
            </w:r>
            <w:r w:rsidR="00881592" w:rsidRPr="00881592">
              <w:rPr>
                <w:color w:val="FF0000"/>
              </w:rPr>
              <w:t>ne</w:t>
            </w:r>
            <w:r w:rsidR="00881592">
              <w:rPr>
                <w:color w:val="FF0000"/>
              </w:rPr>
              <w:t xml:space="preserve"> ?</w:t>
            </w:r>
            <w:proofErr w:type="gramEnd"/>
          </w:p>
          <w:p w:rsidR="00855660" w:rsidRPr="00C62B8D" w:rsidRDefault="00855660" w:rsidP="00855660">
            <w:r w:rsidRPr="00C62B8D">
              <w:t xml:space="preserve">Při </w:t>
            </w:r>
            <w:proofErr w:type="spellStart"/>
            <w:r w:rsidRPr="00C62B8D">
              <w:t>suspekci</w:t>
            </w:r>
            <w:proofErr w:type="spellEnd"/>
            <w:r w:rsidRPr="00C62B8D">
              <w:t xml:space="preserve"> na bakteriální superinfekci +  </w:t>
            </w:r>
            <w:proofErr w:type="spellStart"/>
            <w:r w:rsidRPr="00C62B8D">
              <w:t>Azitromycin</w:t>
            </w:r>
            <w:proofErr w:type="spellEnd"/>
            <w:r w:rsidRPr="00C62B8D">
              <w:t xml:space="preserve"> (500 mg 1. den, dále 250 mg denně, celkem 5 dnů).</w:t>
            </w:r>
          </w:p>
          <w:p w:rsidR="00855660" w:rsidRPr="00C62B8D" w:rsidRDefault="00855660" w:rsidP="00855660">
            <w:r w:rsidRPr="00C62B8D">
              <w:t>Kombinovaná léčba s </w:t>
            </w:r>
            <w:proofErr w:type="spellStart"/>
            <w:r w:rsidRPr="00C62B8D">
              <w:t>Azitromycinem</w:t>
            </w:r>
            <w:proofErr w:type="spellEnd"/>
            <w:r w:rsidRPr="00C62B8D">
              <w:t xml:space="preserve">  dle předběžných výsledků významně snižuje délku vylučování viru. Při této léčbě je nutné denně kontrolovat EKG nebo pacienta monitorovat</w:t>
            </w:r>
          </w:p>
          <w:p w:rsidR="00855660" w:rsidRPr="00C62B8D" w:rsidRDefault="00855660" w:rsidP="00F76AA7">
            <w:pPr>
              <w:rPr>
                <w:b/>
              </w:rPr>
            </w:pPr>
          </w:p>
        </w:tc>
      </w:tr>
      <w:tr w:rsidR="00C62B8D" w:rsidRPr="00C62B8D" w:rsidTr="00BD0C0D">
        <w:tc>
          <w:tcPr>
            <w:tcW w:w="9212" w:type="dxa"/>
            <w:gridSpan w:val="2"/>
          </w:tcPr>
          <w:p w:rsidR="00855660" w:rsidRPr="00C62B8D" w:rsidRDefault="00855660" w:rsidP="00855660">
            <w:pPr>
              <w:rPr>
                <w:b/>
              </w:rPr>
            </w:pPr>
            <w:r w:rsidRPr="00C62B8D">
              <w:rPr>
                <w:b/>
              </w:rPr>
              <w:t>Pacienti s těžkým průběhem</w:t>
            </w:r>
          </w:p>
          <w:p w:rsidR="00855660" w:rsidRPr="00C62B8D" w:rsidRDefault="00855660" w:rsidP="00F76AA7">
            <w:pPr>
              <w:rPr>
                <w:b/>
              </w:rPr>
            </w:pPr>
          </w:p>
        </w:tc>
      </w:tr>
      <w:tr w:rsidR="00855660" w:rsidRPr="00C62B8D" w:rsidTr="00F55DE3">
        <w:tc>
          <w:tcPr>
            <w:tcW w:w="675" w:type="dxa"/>
          </w:tcPr>
          <w:p w:rsidR="00855660" w:rsidRPr="00C62B8D" w:rsidRDefault="00855660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855660" w:rsidRPr="00C62B8D" w:rsidRDefault="00855660" w:rsidP="00855660">
            <w:pPr>
              <w:rPr>
                <w:rFonts w:cstheme="minorHAnsi"/>
              </w:rPr>
            </w:pPr>
            <w:r w:rsidRPr="00C62B8D">
              <w:rPr>
                <w:rFonts w:cstheme="minorHAnsi"/>
              </w:rPr>
              <w:t xml:space="preserve">Izolace na JIP, komplexní léčba dle </w:t>
            </w:r>
            <w:proofErr w:type="spellStart"/>
            <w:r w:rsidRPr="00C62B8D">
              <w:rPr>
                <w:rFonts w:cstheme="minorHAnsi"/>
              </w:rPr>
              <w:t>guidelines</w:t>
            </w:r>
            <w:proofErr w:type="spellEnd"/>
            <w:r w:rsidRPr="00C62B8D">
              <w:rPr>
                <w:rFonts w:cstheme="minorHAnsi"/>
              </w:rPr>
              <w:t xml:space="preserve"> </w:t>
            </w:r>
            <w:proofErr w:type="spellStart"/>
            <w:r w:rsidRPr="00C62B8D">
              <w:rPr>
                <w:rFonts w:cstheme="minorHAnsi"/>
              </w:rPr>
              <w:t>intenzivistů</w:t>
            </w:r>
            <w:proofErr w:type="spellEnd"/>
          </w:p>
          <w:p w:rsidR="00855660" w:rsidRPr="00C62B8D" w:rsidRDefault="00855660" w:rsidP="00F76AA7">
            <w:pPr>
              <w:rPr>
                <w:b/>
              </w:rPr>
            </w:pPr>
          </w:p>
        </w:tc>
      </w:tr>
      <w:tr w:rsidR="00855660" w:rsidRPr="00C62B8D" w:rsidTr="00F55DE3">
        <w:tc>
          <w:tcPr>
            <w:tcW w:w="675" w:type="dxa"/>
          </w:tcPr>
          <w:p w:rsidR="00855660" w:rsidRPr="00C62B8D" w:rsidRDefault="00855660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855660" w:rsidRPr="00C62B8D" w:rsidRDefault="00855660" w:rsidP="0085566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Nasazení steroidů u pacientů s ARDS není doporučeno, jejich podání zpomaluje tzv. </w:t>
            </w:r>
            <w:r w:rsidR="00CD07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virovou</w:t>
            </w:r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clearence</w:t>
            </w:r>
            <w:proofErr w:type="spellEnd"/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 usnadňuje rozvoj mykotické superinfekce (podobně nevýhodně vyzněly i dříve publikované práce u nemocných se SARS a influenzou)</w:t>
            </w:r>
          </w:p>
          <w:p w:rsidR="00855660" w:rsidRPr="00C62B8D" w:rsidRDefault="00855660" w:rsidP="0085566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C62B8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tekutinová léčba: </w:t>
            </w:r>
          </w:p>
          <w:p w:rsidR="00855660" w:rsidRPr="00C62B8D" w:rsidRDefault="00855660" w:rsidP="00855660">
            <w:pPr>
              <w:pStyle w:val="Default"/>
              <w:spacing w:after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Pokud pacient nejeví známky poruchy </w:t>
            </w:r>
            <w:proofErr w:type="spellStart"/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perfuze</w:t>
            </w:r>
            <w:proofErr w:type="spellEnd"/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periferních tkání, je doporučena maximální snaha o restriktivní tekutinovou politiku a udržení negativní nebo vyrovnané bilance </w:t>
            </w:r>
          </w:p>
          <w:p w:rsidR="00855660" w:rsidRPr="00C62B8D" w:rsidRDefault="00855660" w:rsidP="0085566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Přetížení tekutinami je bezprostředně spjato se zhoršením </w:t>
            </w:r>
            <w:proofErr w:type="spellStart"/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oxygenace</w:t>
            </w:r>
            <w:proofErr w:type="spellEnd"/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="00855660" w:rsidRPr="00C62B8D" w:rsidRDefault="00855660" w:rsidP="0085566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855660" w:rsidRPr="00C62B8D" w:rsidRDefault="00855660" w:rsidP="0085566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62B8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kyslíková terapie </w:t>
            </w:r>
          </w:p>
          <w:p w:rsidR="00855660" w:rsidRPr="00C62B8D" w:rsidRDefault="00855660" w:rsidP="00855660">
            <w:pPr>
              <w:pStyle w:val="Default"/>
              <w:spacing w:after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Použití HFO / NIV je principiálně možné, nemělo by však docházet ke kontaminaci prostředí aerosolem, tzn., že tyto pomůcky musí maximálním možným způsobem těsnit a v případě NIV je doporučeno upřednostnit masky </w:t>
            </w:r>
            <w:proofErr w:type="spellStart"/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celoobličejové</w:t>
            </w:r>
            <w:proofErr w:type="spellEnd"/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nebo helmy </w:t>
            </w:r>
          </w:p>
          <w:p w:rsidR="00855660" w:rsidRPr="00C62B8D" w:rsidRDefault="00855660" w:rsidP="0085566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Absolutní indikací k OTI a UPV je těžká </w:t>
            </w:r>
            <w:proofErr w:type="spellStart"/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hypoxemie</w:t>
            </w:r>
            <w:proofErr w:type="spellEnd"/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 </w:t>
            </w:r>
            <w:proofErr w:type="spellStart"/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oxygenačním</w:t>
            </w:r>
            <w:proofErr w:type="spellEnd"/>
            <w:r w:rsidRPr="00C62B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indexem (PaO2/FiO2) &lt; 200mmHg</w:t>
            </w:r>
          </w:p>
          <w:p w:rsidR="00855660" w:rsidRPr="00C62B8D" w:rsidRDefault="00855660" w:rsidP="00855660">
            <w:pPr>
              <w:rPr>
                <w:rFonts w:cstheme="minorHAnsi"/>
              </w:rPr>
            </w:pPr>
          </w:p>
        </w:tc>
      </w:tr>
      <w:tr w:rsidR="00855660" w:rsidRPr="00C62B8D" w:rsidTr="00F55DE3">
        <w:tc>
          <w:tcPr>
            <w:tcW w:w="675" w:type="dxa"/>
          </w:tcPr>
          <w:p w:rsidR="00855660" w:rsidRPr="00C62B8D" w:rsidRDefault="00855660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AB3174" w:rsidRDefault="006119F0" w:rsidP="00855660">
            <w:pPr>
              <w:rPr>
                <w:i/>
              </w:rPr>
            </w:pPr>
            <w:proofErr w:type="gramStart"/>
            <w:r>
              <w:rPr>
                <w:i/>
              </w:rPr>
              <w:t>Zvažovaná  léčba</w:t>
            </w:r>
            <w:proofErr w:type="gramEnd"/>
            <w:r>
              <w:rPr>
                <w:i/>
              </w:rPr>
              <w:t xml:space="preserve">, pro kterou však </w:t>
            </w:r>
            <w:r w:rsidRPr="00C62B8D">
              <w:rPr>
                <w:i/>
              </w:rPr>
              <w:t xml:space="preserve"> chybí dostatek validních dat a  zůstává  </w:t>
            </w:r>
            <w:r>
              <w:rPr>
                <w:i/>
              </w:rPr>
              <w:t xml:space="preserve">jednoznačně </w:t>
            </w:r>
            <w:proofErr w:type="spellStart"/>
            <w:r w:rsidRPr="00C62B8D">
              <w:rPr>
                <w:i/>
              </w:rPr>
              <w:t>off</w:t>
            </w:r>
            <w:proofErr w:type="spellEnd"/>
            <w:r w:rsidRPr="00C62B8D">
              <w:rPr>
                <w:i/>
              </w:rPr>
              <w:t xml:space="preserve"> label</w:t>
            </w:r>
            <w:r w:rsidR="00C90568">
              <w:rPr>
                <w:i/>
              </w:rPr>
              <w:t>:</w:t>
            </w:r>
          </w:p>
          <w:p w:rsidR="00C90568" w:rsidRPr="00C62B8D" w:rsidRDefault="00C90568" w:rsidP="00855660">
            <w:pPr>
              <w:rPr>
                <w:i/>
              </w:rPr>
            </w:pPr>
          </w:p>
          <w:p w:rsidR="00AB3174" w:rsidRPr="00C62B8D" w:rsidRDefault="00AB3174" w:rsidP="00AB3174">
            <w:pPr>
              <w:rPr>
                <w:b/>
              </w:rPr>
            </w:pPr>
            <w:proofErr w:type="spellStart"/>
            <w:r w:rsidRPr="00C62B8D">
              <w:t>Remdesivir</w:t>
            </w:r>
            <w:proofErr w:type="spellEnd"/>
            <w:r w:rsidRPr="00C62B8D">
              <w:t xml:space="preserve"> </w:t>
            </w:r>
            <w:r w:rsidRPr="00C62B8D">
              <w:rPr>
                <w:b/>
              </w:rPr>
              <w:t xml:space="preserve"> </w:t>
            </w:r>
            <w:r w:rsidRPr="00C62B8D">
              <w:t>1. den</w:t>
            </w:r>
            <w:r w:rsidRPr="00C62B8D">
              <w:rPr>
                <w:b/>
              </w:rPr>
              <w:t xml:space="preserve"> - </w:t>
            </w:r>
            <w:r w:rsidRPr="00C62B8D">
              <w:t xml:space="preserve">200mg,  následně 100mg </w:t>
            </w:r>
            <w:proofErr w:type="spellStart"/>
            <w:proofErr w:type="gramStart"/>
            <w:r w:rsidRPr="00C62B8D">
              <w:t>i.v</w:t>
            </w:r>
            <w:proofErr w:type="spellEnd"/>
            <w:r w:rsidRPr="00C62B8D">
              <w:t>.</w:t>
            </w:r>
            <w:proofErr w:type="gramEnd"/>
            <w:r w:rsidRPr="00C62B8D">
              <w:t xml:space="preserve"> denně po 10 dní, efekt při včasném zahájení léčby – optimálně do 10. dne od prvních příznaků</w:t>
            </w:r>
          </w:p>
          <w:p w:rsidR="00855660" w:rsidRPr="00C62B8D" w:rsidRDefault="00855660" w:rsidP="00855660">
            <w:proofErr w:type="spellStart"/>
            <w:r w:rsidRPr="00C62B8D">
              <w:t>Hydroxychlorochin</w:t>
            </w:r>
            <w:proofErr w:type="spellEnd"/>
            <w:r w:rsidRPr="00C62B8D">
              <w:t xml:space="preserve">  + ev. </w:t>
            </w:r>
            <w:proofErr w:type="spellStart"/>
            <w:r w:rsidRPr="00C62B8D">
              <w:t>Azitromycin</w:t>
            </w:r>
            <w:proofErr w:type="spellEnd"/>
            <w:r w:rsidRPr="00C62B8D">
              <w:t xml:space="preserve">  či širokospektrá ATB </w:t>
            </w:r>
            <w:proofErr w:type="spellStart"/>
            <w:proofErr w:type="gramStart"/>
            <w:r w:rsidRPr="00C62B8D">
              <w:t>i.v</w:t>
            </w:r>
            <w:proofErr w:type="spellEnd"/>
            <w:r w:rsidRPr="00C62B8D">
              <w:t>.</w:t>
            </w:r>
            <w:proofErr w:type="gramEnd"/>
            <w:r w:rsidR="00AB3174">
              <w:t>, lze zvážit prodloužení terapie na 7 dní</w:t>
            </w:r>
          </w:p>
          <w:p w:rsidR="00855660" w:rsidRPr="00C62B8D" w:rsidRDefault="00855660" w:rsidP="00855660">
            <w:proofErr w:type="spellStart"/>
            <w:r w:rsidRPr="00C62B8D">
              <w:t>Lopinavir</w:t>
            </w:r>
            <w:proofErr w:type="spellEnd"/>
            <w:r w:rsidRPr="00C62B8D">
              <w:t>/</w:t>
            </w:r>
            <w:proofErr w:type="spellStart"/>
            <w:r w:rsidRPr="00C62B8D">
              <w:t>ritonavir</w:t>
            </w:r>
            <w:proofErr w:type="spellEnd"/>
            <w:r w:rsidRPr="00C62B8D">
              <w:t xml:space="preserve">  400/100mg tj. 2 </w:t>
            </w:r>
            <w:proofErr w:type="spellStart"/>
            <w:r w:rsidRPr="00C62B8D">
              <w:t>tbl</w:t>
            </w:r>
            <w:proofErr w:type="spellEnd"/>
            <w:r w:rsidRPr="00C62B8D">
              <w:t xml:space="preserve"> 2x denně po 14 dní – efekt léčby ale zatím málo průkazný, u pacientů s těžkým průběhem nebyl prokázán benefit, kombinovat s </w:t>
            </w:r>
            <w:proofErr w:type="spellStart"/>
            <w:r w:rsidRPr="00C62B8D">
              <w:t>hydroxychlorochinem</w:t>
            </w:r>
            <w:proofErr w:type="spellEnd"/>
            <w:r w:rsidRPr="00C62B8D">
              <w:t>, pokud nejsou kontraindikace</w:t>
            </w:r>
          </w:p>
          <w:p w:rsidR="00855660" w:rsidRPr="00C62B8D" w:rsidRDefault="00855660" w:rsidP="00855660">
            <w:r w:rsidRPr="00C62B8D">
              <w:t>(</w:t>
            </w:r>
            <w:proofErr w:type="spellStart"/>
            <w:r w:rsidRPr="00C62B8D">
              <w:t>Favipiravir</w:t>
            </w:r>
            <w:proofErr w:type="spellEnd"/>
            <w:r w:rsidRPr="00C62B8D">
              <w:t xml:space="preserve"> – </w:t>
            </w:r>
            <w:r w:rsidR="00DB2447">
              <w:t xml:space="preserve">inhibitor syntézy RNA - T705 - registrovaný v Japonsku jako </w:t>
            </w:r>
            <w:proofErr w:type="spellStart"/>
            <w:r w:rsidR="00DB2447">
              <w:t>Avigan</w:t>
            </w:r>
            <w:proofErr w:type="spellEnd"/>
            <w:r w:rsidR="00DB2447">
              <w:t xml:space="preserve">, v Číně nyní povolen jako </w:t>
            </w:r>
            <w:proofErr w:type="spellStart"/>
            <w:r w:rsidR="00DB2447">
              <w:t>Favilavir</w:t>
            </w:r>
            <w:proofErr w:type="spellEnd"/>
            <w:r w:rsidR="00DB2447">
              <w:t xml:space="preserve">, </w:t>
            </w:r>
            <w:proofErr w:type="gramStart"/>
            <w:r w:rsidRPr="00C62B8D">
              <w:t>t.č.</w:t>
            </w:r>
            <w:proofErr w:type="gramEnd"/>
            <w:r w:rsidRPr="00C62B8D">
              <w:t xml:space="preserve"> v ČR nedostupný )</w:t>
            </w:r>
          </w:p>
          <w:p w:rsidR="00855660" w:rsidRPr="00C62B8D" w:rsidRDefault="00855660" w:rsidP="00855660">
            <w:pPr>
              <w:rPr>
                <w:rFonts w:cstheme="minorHAnsi"/>
              </w:rPr>
            </w:pPr>
          </w:p>
        </w:tc>
      </w:tr>
      <w:tr w:rsidR="00C62B8D" w:rsidRPr="00C62B8D" w:rsidTr="00EF2E73">
        <w:tc>
          <w:tcPr>
            <w:tcW w:w="9212" w:type="dxa"/>
            <w:gridSpan w:val="2"/>
          </w:tcPr>
          <w:p w:rsidR="00855660" w:rsidRPr="00C62B8D" w:rsidRDefault="00855660" w:rsidP="00855660">
            <w:pPr>
              <w:rPr>
                <w:b/>
              </w:rPr>
            </w:pPr>
            <w:r w:rsidRPr="00C62B8D">
              <w:rPr>
                <w:b/>
              </w:rPr>
              <w:t xml:space="preserve">Pacienti s těžkým </w:t>
            </w:r>
            <w:proofErr w:type="spellStart"/>
            <w:r w:rsidRPr="00C62B8D">
              <w:rPr>
                <w:b/>
              </w:rPr>
              <w:t>progredujícím</w:t>
            </w:r>
            <w:proofErr w:type="spellEnd"/>
            <w:r w:rsidRPr="00C62B8D">
              <w:rPr>
                <w:b/>
              </w:rPr>
              <w:t xml:space="preserve"> průběhem přes výše uvedenou léčbu</w:t>
            </w:r>
          </w:p>
          <w:p w:rsidR="00855660" w:rsidRPr="00C62B8D" w:rsidRDefault="00855660" w:rsidP="00855660">
            <w:pPr>
              <w:rPr>
                <w:rFonts w:cstheme="minorHAnsi"/>
              </w:rPr>
            </w:pPr>
          </w:p>
        </w:tc>
      </w:tr>
      <w:tr w:rsidR="00855660" w:rsidRPr="00C62B8D" w:rsidTr="00F55DE3">
        <w:tc>
          <w:tcPr>
            <w:tcW w:w="675" w:type="dxa"/>
          </w:tcPr>
          <w:p w:rsidR="00855660" w:rsidRPr="00C62B8D" w:rsidRDefault="00855660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855660" w:rsidRPr="00C62B8D" w:rsidRDefault="00CD07BF" w:rsidP="0085566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t>Intenzi</w:t>
            </w:r>
            <w:r w:rsidR="00855660" w:rsidRPr="00C62B8D">
              <w:t>vní léčba, pronační techniky (</w:t>
            </w:r>
            <w:r w:rsidR="00855660" w:rsidRPr="00C62B8D">
              <w:rPr>
                <w:rFonts w:ascii="Arial" w:eastAsia="Times New Roman" w:hAnsi="Arial" w:cs="Arial"/>
                <w:sz w:val="18"/>
                <w:szCs w:val="18"/>
              </w:rPr>
              <w:t xml:space="preserve">zásadní terapeutické opatření, od 18 do 24 hod., alespoň 7 </w:t>
            </w:r>
            <w:proofErr w:type="gramStart"/>
            <w:r w:rsidR="00855660" w:rsidRPr="00C62B8D">
              <w:rPr>
                <w:rFonts w:ascii="Arial" w:eastAsia="Times New Roman" w:hAnsi="Arial" w:cs="Arial"/>
                <w:sz w:val="18"/>
                <w:szCs w:val="18"/>
              </w:rPr>
              <w:t>rotací)</w:t>
            </w:r>
            <w:r w:rsidR="00855660" w:rsidRPr="00C62B8D">
              <w:t>,  doplnit</w:t>
            </w:r>
            <w:proofErr w:type="gramEnd"/>
            <w:r w:rsidR="00855660" w:rsidRPr="00C62B8D">
              <w:t xml:space="preserve"> dle </w:t>
            </w:r>
            <w:proofErr w:type="spellStart"/>
            <w:r w:rsidR="00855660" w:rsidRPr="00C62B8D">
              <w:t>guidelines</w:t>
            </w:r>
            <w:proofErr w:type="spellEnd"/>
            <w:r w:rsidR="00855660" w:rsidRPr="00C62B8D">
              <w:t xml:space="preserve"> </w:t>
            </w:r>
            <w:proofErr w:type="spellStart"/>
            <w:r w:rsidR="00855660" w:rsidRPr="00C62B8D">
              <w:t>intenzivistů</w:t>
            </w:r>
            <w:proofErr w:type="spellEnd"/>
            <w:r w:rsidR="00855660" w:rsidRPr="00C62B8D">
              <w:t xml:space="preserve">  (ECMO-</w:t>
            </w:r>
            <w:r w:rsidR="00855660" w:rsidRPr="00C62B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indikováno při selhání dosavadní terapie a </w:t>
            </w:r>
            <w:r w:rsidR="00855660" w:rsidRPr="00C62B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 xml:space="preserve">extrémní </w:t>
            </w:r>
            <w:proofErr w:type="spellStart"/>
            <w:r w:rsidR="00855660" w:rsidRPr="00C62B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hypoxémii</w:t>
            </w:r>
            <w:proofErr w:type="spellEnd"/>
            <w:r w:rsidR="00855660" w:rsidRPr="00C62B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</w:t>
            </w:r>
            <w:r w:rsidR="00855660" w:rsidRPr="00C62B8D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CRRT….)</w:t>
            </w:r>
          </w:p>
          <w:p w:rsidR="00855660" w:rsidRPr="00C62B8D" w:rsidRDefault="00855660" w:rsidP="00855660">
            <w:pPr>
              <w:rPr>
                <w:b/>
              </w:rPr>
            </w:pPr>
          </w:p>
        </w:tc>
      </w:tr>
      <w:tr w:rsidR="00855660" w:rsidRPr="00C62B8D" w:rsidTr="00F55DE3">
        <w:tc>
          <w:tcPr>
            <w:tcW w:w="675" w:type="dxa"/>
          </w:tcPr>
          <w:p w:rsidR="00855660" w:rsidRPr="00C62B8D" w:rsidRDefault="00855660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C90568" w:rsidRDefault="00C90568" w:rsidP="00C90568">
            <w:pPr>
              <w:rPr>
                <w:i/>
              </w:rPr>
            </w:pPr>
            <w:proofErr w:type="gramStart"/>
            <w:r>
              <w:rPr>
                <w:i/>
              </w:rPr>
              <w:t>Zvažovaná  léčba</w:t>
            </w:r>
            <w:proofErr w:type="gramEnd"/>
            <w:r>
              <w:rPr>
                <w:i/>
              </w:rPr>
              <w:t xml:space="preserve">, pro kterou však </w:t>
            </w:r>
            <w:r w:rsidRPr="00C62B8D">
              <w:rPr>
                <w:i/>
              </w:rPr>
              <w:t xml:space="preserve"> chybí dostatek validních dat a  zůstává  </w:t>
            </w:r>
            <w:r>
              <w:rPr>
                <w:i/>
              </w:rPr>
              <w:t xml:space="preserve">jednoznačně </w:t>
            </w:r>
            <w:proofErr w:type="spellStart"/>
            <w:r w:rsidRPr="00C62B8D">
              <w:rPr>
                <w:i/>
              </w:rPr>
              <w:t>off</w:t>
            </w:r>
            <w:proofErr w:type="spellEnd"/>
            <w:r w:rsidRPr="00C62B8D">
              <w:rPr>
                <w:i/>
              </w:rPr>
              <w:t xml:space="preserve"> label</w:t>
            </w:r>
            <w:r>
              <w:rPr>
                <w:i/>
              </w:rPr>
              <w:t>:</w:t>
            </w:r>
          </w:p>
          <w:p w:rsidR="00C62B8D" w:rsidRPr="00C62B8D" w:rsidRDefault="00C62B8D" w:rsidP="00C62B8D">
            <w:pPr>
              <w:rPr>
                <w:i/>
              </w:rPr>
            </w:pPr>
            <w:bookmarkStart w:id="0" w:name="_GoBack"/>
            <w:bookmarkEnd w:id="0"/>
          </w:p>
          <w:p w:rsidR="00C62B8D" w:rsidRPr="00C62B8D" w:rsidRDefault="00C62B8D" w:rsidP="00C62B8D">
            <w:pPr>
              <w:rPr>
                <w:b/>
              </w:rPr>
            </w:pPr>
            <w:proofErr w:type="spellStart"/>
            <w:r w:rsidRPr="00C62B8D">
              <w:t>Remdesivir</w:t>
            </w:r>
            <w:proofErr w:type="spellEnd"/>
            <w:r w:rsidRPr="00C62B8D">
              <w:t xml:space="preserve"> </w:t>
            </w:r>
            <w:r w:rsidRPr="00C62B8D">
              <w:rPr>
                <w:b/>
              </w:rPr>
              <w:t xml:space="preserve"> </w:t>
            </w:r>
            <w:r w:rsidRPr="00C62B8D">
              <w:t>1. den</w:t>
            </w:r>
            <w:r w:rsidRPr="00C62B8D">
              <w:rPr>
                <w:b/>
              </w:rPr>
              <w:t xml:space="preserve"> - </w:t>
            </w:r>
            <w:r w:rsidRPr="00C62B8D">
              <w:t xml:space="preserve">200mg,  následně 100mg </w:t>
            </w:r>
            <w:proofErr w:type="spellStart"/>
            <w:proofErr w:type="gramStart"/>
            <w:r w:rsidRPr="00C62B8D">
              <w:t>i.v</w:t>
            </w:r>
            <w:proofErr w:type="spellEnd"/>
            <w:r w:rsidRPr="00C62B8D">
              <w:t>.</w:t>
            </w:r>
            <w:proofErr w:type="gramEnd"/>
            <w:r w:rsidRPr="00C62B8D">
              <w:t xml:space="preserve"> denně po 10 dní, efekt při včasném zahájení léčby – optimálně do 10. dne od prvních příznaků</w:t>
            </w:r>
          </w:p>
          <w:p w:rsidR="005D1183" w:rsidRPr="00C62B8D" w:rsidRDefault="005D1183" w:rsidP="005D1183">
            <w:proofErr w:type="spellStart"/>
            <w:r w:rsidRPr="00C62B8D">
              <w:t>Hydroxychlorochin</w:t>
            </w:r>
            <w:proofErr w:type="spellEnd"/>
            <w:r w:rsidRPr="00C62B8D">
              <w:t xml:space="preserve">  + ev. </w:t>
            </w:r>
            <w:proofErr w:type="spellStart"/>
            <w:r w:rsidRPr="00C62B8D">
              <w:t>Azitromycin</w:t>
            </w:r>
            <w:proofErr w:type="spellEnd"/>
            <w:r w:rsidRPr="00C62B8D">
              <w:t xml:space="preserve">  či širokospektrá ATB </w:t>
            </w:r>
            <w:proofErr w:type="spellStart"/>
            <w:proofErr w:type="gramStart"/>
            <w:r w:rsidRPr="00C62B8D">
              <w:t>i.v</w:t>
            </w:r>
            <w:proofErr w:type="spellEnd"/>
            <w:r w:rsidRPr="00C62B8D">
              <w:t>.</w:t>
            </w:r>
            <w:proofErr w:type="gramEnd"/>
          </w:p>
          <w:p w:rsidR="00C62B8D" w:rsidRPr="00C62B8D" w:rsidRDefault="00C62B8D" w:rsidP="00C62B8D">
            <w:proofErr w:type="spellStart"/>
            <w:r w:rsidRPr="00C62B8D">
              <w:t>Lopinavir</w:t>
            </w:r>
            <w:proofErr w:type="spellEnd"/>
            <w:r w:rsidRPr="00C62B8D">
              <w:t>/</w:t>
            </w:r>
            <w:proofErr w:type="spellStart"/>
            <w:r w:rsidRPr="00C62B8D">
              <w:t>ritonavir</w:t>
            </w:r>
            <w:proofErr w:type="spellEnd"/>
            <w:r w:rsidRPr="00C62B8D">
              <w:t xml:space="preserve">  400/100mg tj. 2 </w:t>
            </w:r>
            <w:proofErr w:type="spellStart"/>
            <w:r w:rsidRPr="00C62B8D">
              <w:t>tbl</w:t>
            </w:r>
            <w:proofErr w:type="spellEnd"/>
            <w:r w:rsidRPr="00C62B8D">
              <w:t xml:space="preserve"> 2x denně po 14 dní – efekt léčby ale zatím málo průkazný, u pacientů s těžkým průběhem nebyl prokázán benefit, kombinovat s </w:t>
            </w:r>
            <w:proofErr w:type="spellStart"/>
            <w:r w:rsidRPr="00C62B8D">
              <w:t>hydroxychlorochinem</w:t>
            </w:r>
            <w:proofErr w:type="spellEnd"/>
            <w:r w:rsidRPr="00C62B8D">
              <w:t>, pokud nejsou kontraindikace</w:t>
            </w:r>
          </w:p>
          <w:p w:rsidR="00C62B8D" w:rsidRPr="00C62B8D" w:rsidRDefault="00C62B8D" w:rsidP="00C62B8D">
            <w:r w:rsidRPr="00C62B8D">
              <w:t>(</w:t>
            </w:r>
            <w:proofErr w:type="spellStart"/>
            <w:r w:rsidRPr="00C62B8D">
              <w:t>Favipiravir</w:t>
            </w:r>
            <w:proofErr w:type="spellEnd"/>
            <w:r w:rsidRPr="00C62B8D">
              <w:t xml:space="preserve"> – </w:t>
            </w:r>
            <w:proofErr w:type="gramStart"/>
            <w:r w:rsidRPr="00C62B8D">
              <w:t>t.č.</w:t>
            </w:r>
            <w:proofErr w:type="gramEnd"/>
            <w:r w:rsidRPr="00C62B8D">
              <w:t xml:space="preserve"> v ČR nedostupný )</w:t>
            </w:r>
          </w:p>
          <w:p w:rsidR="00855660" w:rsidRPr="00C62B8D" w:rsidRDefault="00855660" w:rsidP="00855660">
            <w:pPr>
              <w:rPr>
                <w:b/>
              </w:rPr>
            </w:pPr>
          </w:p>
        </w:tc>
      </w:tr>
      <w:tr w:rsidR="00C62B8D" w:rsidRPr="00C62B8D" w:rsidTr="00F55DE3">
        <w:tc>
          <w:tcPr>
            <w:tcW w:w="675" w:type="dxa"/>
          </w:tcPr>
          <w:p w:rsidR="00C62B8D" w:rsidRPr="00C62B8D" w:rsidRDefault="00C62B8D" w:rsidP="00F76AA7">
            <w:pPr>
              <w:rPr>
                <w:b/>
              </w:rPr>
            </w:pPr>
          </w:p>
        </w:tc>
        <w:tc>
          <w:tcPr>
            <w:tcW w:w="8537" w:type="dxa"/>
          </w:tcPr>
          <w:p w:rsidR="00C62B8D" w:rsidRPr="00C62B8D" w:rsidRDefault="00C62B8D" w:rsidP="00C62B8D">
            <w:r w:rsidRPr="00C62B8D">
              <w:t xml:space="preserve">V některých doporučeních se dále </w:t>
            </w:r>
            <w:proofErr w:type="gramStart"/>
            <w:r w:rsidRPr="00C62B8D">
              <w:t>uvádí</w:t>
            </w:r>
            <w:r w:rsidRPr="00C62B8D">
              <w:rPr>
                <w:i/>
              </w:rPr>
              <w:t xml:space="preserve">  </w:t>
            </w:r>
            <w:r w:rsidRPr="00C62B8D">
              <w:t>Interferon</w:t>
            </w:r>
            <w:proofErr w:type="gramEnd"/>
            <w:r w:rsidRPr="00C62B8D">
              <w:t xml:space="preserve"> beta B1 (</w:t>
            </w:r>
            <w:proofErr w:type="spellStart"/>
            <w:r w:rsidRPr="00C62B8D">
              <w:t>Betaseron</w:t>
            </w:r>
            <w:proofErr w:type="spellEnd"/>
            <w:r w:rsidRPr="00C62B8D">
              <w:t>), vždy ale v kombinaci s </w:t>
            </w:r>
            <w:proofErr w:type="spellStart"/>
            <w:r w:rsidRPr="00C62B8D">
              <w:t>antivirotikem</w:t>
            </w:r>
            <w:proofErr w:type="spellEnd"/>
            <w:r w:rsidRPr="00C62B8D">
              <w:t xml:space="preserve">, ev. inhibitor </w:t>
            </w:r>
            <w:proofErr w:type="spellStart"/>
            <w:r w:rsidRPr="00C62B8D">
              <w:t>interleukinu</w:t>
            </w:r>
            <w:proofErr w:type="spellEnd"/>
            <w:r w:rsidRPr="00C62B8D">
              <w:t xml:space="preserve">  - </w:t>
            </w:r>
            <w:proofErr w:type="spellStart"/>
            <w:r w:rsidRPr="00C62B8D">
              <w:t>tocilizumab</w:t>
            </w:r>
            <w:proofErr w:type="spellEnd"/>
            <w:r w:rsidRPr="00C62B8D">
              <w:t xml:space="preserve">. Užití těchto preparátů je dosud zcela experimentální a není dostatek zkušeností pro jejich </w:t>
            </w:r>
            <w:proofErr w:type="gramStart"/>
            <w:r w:rsidRPr="00C62B8D">
              <w:t>doporučení .</w:t>
            </w:r>
            <w:proofErr w:type="gramEnd"/>
            <w:r w:rsidRPr="00C62B8D">
              <w:t xml:space="preserve"> </w:t>
            </w:r>
          </w:p>
          <w:p w:rsidR="00C62B8D" w:rsidRPr="00C62B8D" w:rsidRDefault="00C62B8D" w:rsidP="00C62B8D">
            <w:pPr>
              <w:rPr>
                <w:i/>
              </w:rPr>
            </w:pPr>
          </w:p>
        </w:tc>
      </w:tr>
    </w:tbl>
    <w:p w:rsidR="00424808" w:rsidRDefault="00424808" w:rsidP="00F76AA7"/>
    <w:p w:rsidR="002B2A97" w:rsidRDefault="002B2A97" w:rsidP="00F76AA7">
      <w:proofErr w:type="spellStart"/>
      <w:r>
        <w:t>References</w:t>
      </w:r>
      <w:proofErr w:type="spellEnd"/>
      <w:r>
        <w:t xml:space="preserve"> </w:t>
      </w:r>
    </w:p>
    <w:p w:rsidR="00C62B8D" w:rsidRDefault="002B2A97" w:rsidP="00F76AA7">
      <w:r>
        <w:t xml:space="preserve">1 </w:t>
      </w:r>
      <w:proofErr w:type="spellStart"/>
      <w:r>
        <w:t>Zhou</w:t>
      </w:r>
      <w:proofErr w:type="spellEnd"/>
      <w:r>
        <w:t xml:space="preserve"> F, </w:t>
      </w:r>
      <w:proofErr w:type="spellStart"/>
      <w:r>
        <w:t>Yu</w:t>
      </w:r>
      <w:proofErr w:type="spellEnd"/>
      <w:r>
        <w:t xml:space="preserve"> T, </w:t>
      </w:r>
      <w:proofErr w:type="spellStart"/>
      <w:r>
        <w:t>Du</w:t>
      </w:r>
      <w:proofErr w:type="spellEnd"/>
      <w:r>
        <w:t xml:space="preserve"> R, </w:t>
      </w:r>
      <w:proofErr w:type="spellStart"/>
      <w:r>
        <w:t>Fan</w:t>
      </w:r>
      <w:proofErr w:type="spellEnd"/>
      <w:r>
        <w:t xml:space="preserve"> G, </w:t>
      </w:r>
      <w:proofErr w:type="spellStart"/>
      <w:r>
        <w:t>Liu</w:t>
      </w:r>
      <w:proofErr w:type="spellEnd"/>
      <w:r>
        <w:t xml:space="preserve"> Y, </w:t>
      </w:r>
      <w:proofErr w:type="spellStart"/>
      <w:r>
        <w:t>Liu</w:t>
      </w:r>
      <w:proofErr w:type="spellEnd"/>
      <w:r>
        <w:t xml:space="preserve"> Z, et al.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and risk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mortality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inpatients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COVID-19 in </w:t>
      </w:r>
      <w:proofErr w:type="spellStart"/>
      <w:r>
        <w:t>Wuhan</w:t>
      </w:r>
      <w:proofErr w:type="spellEnd"/>
      <w:r>
        <w:t xml:space="preserve">, </w:t>
      </w:r>
      <w:proofErr w:type="spellStart"/>
      <w:r>
        <w:t>China</w:t>
      </w:r>
      <w:proofErr w:type="spellEnd"/>
      <w:r>
        <w:t xml:space="preserve">: a </w:t>
      </w:r>
      <w:proofErr w:type="spellStart"/>
      <w:r>
        <w:t>retrospective</w:t>
      </w:r>
      <w:proofErr w:type="spellEnd"/>
      <w:r>
        <w:t xml:space="preserve"> </w:t>
      </w:r>
      <w:proofErr w:type="spellStart"/>
      <w:r>
        <w:t>cohort</w:t>
      </w:r>
      <w:proofErr w:type="spellEnd"/>
      <w:r>
        <w:t xml:space="preserve"> study. Lancet </w:t>
      </w:r>
      <w:proofErr w:type="spellStart"/>
      <w:r>
        <w:t>Published</w:t>
      </w:r>
      <w:proofErr w:type="spellEnd"/>
      <w:r>
        <w:t xml:space="preserve"> Online </w:t>
      </w:r>
      <w:proofErr w:type="spellStart"/>
      <w:r>
        <w:t>First</w:t>
      </w:r>
      <w:proofErr w:type="spellEnd"/>
      <w:r>
        <w:t xml:space="preserve">: 11 </w:t>
      </w:r>
      <w:proofErr w:type="spellStart"/>
      <w:r>
        <w:t>March</w:t>
      </w:r>
      <w:proofErr w:type="spellEnd"/>
      <w:r>
        <w:t xml:space="preserve"> 2020. doi:10.1016/S0140-6736(20)30566-3 </w:t>
      </w:r>
    </w:p>
    <w:p w:rsidR="00C62B8D" w:rsidRDefault="002B2A97" w:rsidP="00F76AA7">
      <w:r>
        <w:t xml:space="preserve">2 </w:t>
      </w:r>
      <w:proofErr w:type="spellStart"/>
      <w:r>
        <w:t>Agostini</w:t>
      </w:r>
      <w:proofErr w:type="spellEnd"/>
      <w:r>
        <w:t xml:space="preserve"> ML, Andres EL, </w:t>
      </w:r>
      <w:proofErr w:type="spellStart"/>
      <w:r>
        <w:t>Sims</w:t>
      </w:r>
      <w:proofErr w:type="spellEnd"/>
      <w:r>
        <w:t xml:space="preserve"> AC, Graham RL, </w:t>
      </w:r>
      <w:proofErr w:type="spellStart"/>
      <w:r>
        <w:t>Sheahan</w:t>
      </w:r>
      <w:proofErr w:type="spellEnd"/>
      <w:r>
        <w:t xml:space="preserve"> TP, </w:t>
      </w:r>
      <w:proofErr w:type="spellStart"/>
      <w:r>
        <w:t>Lu</w:t>
      </w:r>
      <w:proofErr w:type="spellEnd"/>
      <w:r>
        <w:t xml:space="preserve"> X, et al. </w:t>
      </w:r>
      <w:proofErr w:type="spellStart"/>
      <w:r>
        <w:t>Coronavirus</w:t>
      </w:r>
      <w:proofErr w:type="spellEnd"/>
      <w:r>
        <w:t xml:space="preserve"> Susceptibility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Antiviral</w:t>
      </w:r>
      <w:proofErr w:type="spellEnd"/>
      <w:r>
        <w:t xml:space="preserve"> </w:t>
      </w:r>
      <w:proofErr w:type="spellStart"/>
      <w:r>
        <w:t>Remdesivir</w:t>
      </w:r>
      <w:proofErr w:type="spellEnd"/>
      <w:r>
        <w:t xml:space="preserve"> (GS-5734) </w:t>
      </w:r>
      <w:proofErr w:type="spellStart"/>
      <w:r>
        <w:t>Is</w:t>
      </w:r>
      <w:proofErr w:type="spellEnd"/>
      <w:r>
        <w:t xml:space="preserve"> </w:t>
      </w:r>
      <w:proofErr w:type="spellStart"/>
      <w:r>
        <w:t>Mediated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Viral</w:t>
      </w:r>
      <w:proofErr w:type="spellEnd"/>
      <w:r>
        <w:t xml:space="preserve"> </w:t>
      </w:r>
      <w:proofErr w:type="spellStart"/>
      <w:r>
        <w:t>Polymerase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Proofreading</w:t>
      </w:r>
      <w:proofErr w:type="spellEnd"/>
      <w:r>
        <w:t xml:space="preserve"> </w:t>
      </w:r>
      <w:proofErr w:type="spellStart"/>
      <w:r>
        <w:t>Exoribonuclease</w:t>
      </w:r>
      <w:proofErr w:type="spellEnd"/>
      <w:r>
        <w:t xml:space="preserve">. </w:t>
      </w:r>
      <w:proofErr w:type="spellStart"/>
      <w:r>
        <w:t>mBio</w:t>
      </w:r>
      <w:proofErr w:type="spellEnd"/>
      <w:r>
        <w:t xml:space="preserve"> 2018; 9. doi:10.1128/mBio.00221-18 </w:t>
      </w:r>
    </w:p>
    <w:p w:rsidR="00C62B8D" w:rsidRDefault="002B2A97" w:rsidP="00F76AA7">
      <w:r>
        <w:t xml:space="preserve">3 </w:t>
      </w:r>
      <w:proofErr w:type="spellStart"/>
      <w:r>
        <w:t>Sheahan</w:t>
      </w:r>
      <w:proofErr w:type="spellEnd"/>
      <w:r>
        <w:t xml:space="preserve"> TP, </w:t>
      </w:r>
      <w:proofErr w:type="spellStart"/>
      <w:r>
        <w:t>Sims</w:t>
      </w:r>
      <w:proofErr w:type="spellEnd"/>
      <w:r>
        <w:t xml:space="preserve"> AC, Graham RL, </w:t>
      </w:r>
      <w:proofErr w:type="spellStart"/>
      <w:r>
        <w:t>Menachery</w:t>
      </w:r>
      <w:proofErr w:type="spellEnd"/>
      <w:r>
        <w:t xml:space="preserve"> VD, </w:t>
      </w:r>
      <w:proofErr w:type="spellStart"/>
      <w:r>
        <w:t>Gralinski</w:t>
      </w:r>
      <w:proofErr w:type="spellEnd"/>
      <w:r>
        <w:t xml:space="preserve"> LE, Case JB, et al. </w:t>
      </w:r>
      <w:proofErr w:type="spellStart"/>
      <w:r>
        <w:t>Broad-spectrum</w:t>
      </w:r>
      <w:proofErr w:type="spellEnd"/>
      <w:r>
        <w:t xml:space="preserve"> </w:t>
      </w:r>
      <w:proofErr w:type="spellStart"/>
      <w:r>
        <w:t>antiviral</w:t>
      </w:r>
      <w:proofErr w:type="spellEnd"/>
      <w:r>
        <w:t xml:space="preserve"> GS-5734 </w:t>
      </w:r>
      <w:proofErr w:type="spellStart"/>
      <w:r>
        <w:t>inhibits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epidemic</w:t>
      </w:r>
      <w:proofErr w:type="spellEnd"/>
      <w:r>
        <w:t xml:space="preserve"> and </w:t>
      </w:r>
      <w:proofErr w:type="spellStart"/>
      <w:r>
        <w:t>zoonotic</w:t>
      </w:r>
      <w:proofErr w:type="spellEnd"/>
      <w:r>
        <w:t xml:space="preserve"> </w:t>
      </w:r>
      <w:proofErr w:type="spellStart"/>
      <w:r>
        <w:t>coronaviruses</w:t>
      </w:r>
      <w:proofErr w:type="spellEnd"/>
      <w:r>
        <w:t xml:space="preserve">. Science </w:t>
      </w:r>
      <w:proofErr w:type="spellStart"/>
      <w:r>
        <w:t>Translational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2017; 9:eaal3653. </w:t>
      </w:r>
    </w:p>
    <w:p w:rsidR="00C62B8D" w:rsidRDefault="002B2A97" w:rsidP="00F76AA7">
      <w:r>
        <w:t xml:space="preserve">4 </w:t>
      </w:r>
      <w:proofErr w:type="spellStart"/>
      <w:r>
        <w:t>Sheahan</w:t>
      </w:r>
      <w:proofErr w:type="spellEnd"/>
      <w:r>
        <w:t xml:space="preserve"> TP, </w:t>
      </w:r>
      <w:proofErr w:type="spellStart"/>
      <w:r>
        <w:t>Sims</w:t>
      </w:r>
      <w:proofErr w:type="spellEnd"/>
      <w:r>
        <w:t xml:space="preserve"> AC, </w:t>
      </w:r>
      <w:proofErr w:type="spellStart"/>
      <w:r>
        <w:t>Leist</w:t>
      </w:r>
      <w:proofErr w:type="spellEnd"/>
      <w:r>
        <w:t xml:space="preserve"> SR, </w:t>
      </w:r>
      <w:proofErr w:type="spellStart"/>
      <w:r>
        <w:t>Schäfer</w:t>
      </w:r>
      <w:proofErr w:type="spellEnd"/>
      <w:r>
        <w:t xml:space="preserve"> A, </w:t>
      </w:r>
      <w:proofErr w:type="spellStart"/>
      <w:r>
        <w:t>Won</w:t>
      </w:r>
      <w:proofErr w:type="spellEnd"/>
      <w:r>
        <w:t xml:space="preserve"> J, Brown AJ, et al.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efficacy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remdesivir</w:t>
      </w:r>
      <w:proofErr w:type="spellEnd"/>
      <w:r>
        <w:t xml:space="preserve"> and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lopinavir</w:t>
      </w:r>
      <w:proofErr w:type="spellEnd"/>
      <w:r>
        <w:t xml:space="preserve">, </w:t>
      </w:r>
      <w:proofErr w:type="spellStart"/>
      <w:r>
        <w:t>ritonavir</w:t>
      </w:r>
      <w:proofErr w:type="spellEnd"/>
      <w:r>
        <w:t xml:space="preserve">, and interferon beta </w:t>
      </w:r>
      <w:proofErr w:type="spellStart"/>
      <w:r>
        <w:t>against</w:t>
      </w:r>
      <w:proofErr w:type="spellEnd"/>
      <w:r>
        <w:t xml:space="preserve"> MERS-</w:t>
      </w:r>
      <w:proofErr w:type="spellStart"/>
      <w:r>
        <w:t>CoV</w:t>
      </w:r>
      <w:proofErr w:type="spellEnd"/>
      <w:r>
        <w:t xml:space="preserve">. </w:t>
      </w:r>
      <w:proofErr w:type="spellStart"/>
      <w:r>
        <w:t>Nature</w:t>
      </w:r>
      <w:proofErr w:type="spellEnd"/>
      <w:r>
        <w:t xml:space="preserve"> Communications 2020; 11. doi:10.1038/s41467-019-13940-6 </w:t>
      </w:r>
    </w:p>
    <w:p w:rsidR="00C62B8D" w:rsidRDefault="002B2A97" w:rsidP="00F76AA7">
      <w:r>
        <w:t xml:space="preserve">5 </w:t>
      </w:r>
      <w:proofErr w:type="spellStart"/>
      <w:r>
        <w:t>Gordon</w:t>
      </w:r>
      <w:proofErr w:type="spellEnd"/>
      <w:r>
        <w:t xml:space="preserve"> CJ, </w:t>
      </w:r>
      <w:proofErr w:type="spellStart"/>
      <w:r>
        <w:t>Tchesnokov</w:t>
      </w:r>
      <w:proofErr w:type="spellEnd"/>
      <w:r>
        <w:t xml:space="preserve"> EP, </w:t>
      </w:r>
      <w:proofErr w:type="spellStart"/>
      <w:r>
        <w:t>Feng</w:t>
      </w:r>
      <w:proofErr w:type="spellEnd"/>
      <w:r>
        <w:t xml:space="preserve"> JY, Porter DP, Gotte M.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antiviral</w:t>
      </w:r>
      <w:proofErr w:type="spellEnd"/>
      <w:r>
        <w:t xml:space="preserve"> </w:t>
      </w:r>
      <w:proofErr w:type="spellStart"/>
      <w:r>
        <w:t>compound</w:t>
      </w:r>
      <w:proofErr w:type="spellEnd"/>
      <w:r>
        <w:t xml:space="preserve"> </w:t>
      </w:r>
      <w:proofErr w:type="spellStart"/>
      <w:r>
        <w:t>remdesivir</w:t>
      </w:r>
      <w:proofErr w:type="spellEnd"/>
      <w:r>
        <w:t xml:space="preserve"> </w:t>
      </w:r>
      <w:proofErr w:type="spellStart"/>
      <w:r>
        <w:t>potently</w:t>
      </w:r>
      <w:proofErr w:type="spellEnd"/>
      <w:r>
        <w:t xml:space="preserve"> </w:t>
      </w:r>
      <w:proofErr w:type="spellStart"/>
      <w:r>
        <w:t>inhibits</w:t>
      </w:r>
      <w:proofErr w:type="spellEnd"/>
      <w:r>
        <w:t xml:space="preserve"> RNA-</w:t>
      </w:r>
      <w:proofErr w:type="spellStart"/>
      <w:r>
        <w:t>dependent</w:t>
      </w:r>
      <w:proofErr w:type="spellEnd"/>
      <w:r>
        <w:t xml:space="preserve"> RNA </w:t>
      </w:r>
      <w:proofErr w:type="spellStart"/>
      <w:r>
        <w:t>polymerase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East </w:t>
      </w:r>
      <w:proofErr w:type="spellStart"/>
      <w:r>
        <w:t>respiratory</w:t>
      </w:r>
      <w:proofErr w:type="spellEnd"/>
      <w:r>
        <w:t xml:space="preserve"> syndrome </w:t>
      </w:r>
      <w:proofErr w:type="spellStart"/>
      <w:r>
        <w:t>coronavirus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</w:t>
      </w:r>
      <w:proofErr w:type="gramStart"/>
      <w:r>
        <w:t>2020; :jbc</w:t>
      </w:r>
      <w:proofErr w:type="gramEnd"/>
      <w:r>
        <w:t xml:space="preserve">.AC120.013056. </w:t>
      </w:r>
    </w:p>
    <w:p w:rsidR="00C62B8D" w:rsidRDefault="002B2A97" w:rsidP="00F76AA7">
      <w:r>
        <w:t xml:space="preserve">6 </w:t>
      </w:r>
      <w:proofErr w:type="spellStart"/>
      <w:r>
        <w:t>Wang</w:t>
      </w:r>
      <w:proofErr w:type="spellEnd"/>
      <w:r>
        <w:t xml:space="preserve"> M, </w:t>
      </w:r>
      <w:proofErr w:type="spellStart"/>
      <w:r>
        <w:t>Cao</w:t>
      </w:r>
      <w:proofErr w:type="spellEnd"/>
      <w:r>
        <w:t xml:space="preserve"> R, </w:t>
      </w:r>
      <w:proofErr w:type="spellStart"/>
      <w:r>
        <w:t>Zhang</w:t>
      </w:r>
      <w:proofErr w:type="spellEnd"/>
      <w:r>
        <w:t xml:space="preserve"> L, </w:t>
      </w:r>
      <w:proofErr w:type="spellStart"/>
      <w:r>
        <w:t>Yang</w:t>
      </w:r>
      <w:proofErr w:type="spellEnd"/>
      <w:r>
        <w:t xml:space="preserve"> X, </w:t>
      </w:r>
      <w:proofErr w:type="spellStart"/>
      <w:r>
        <w:t>Liu</w:t>
      </w:r>
      <w:proofErr w:type="spellEnd"/>
      <w:r>
        <w:t xml:space="preserve"> J, </w:t>
      </w:r>
      <w:proofErr w:type="spellStart"/>
      <w:r>
        <w:t>Xu</w:t>
      </w:r>
      <w:proofErr w:type="spellEnd"/>
      <w:r>
        <w:t xml:space="preserve"> M, et al. </w:t>
      </w:r>
      <w:proofErr w:type="spellStart"/>
      <w:r>
        <w:t>Remdesivir</w:t>
      </w:r>
      <w:proofErr w:type="spellEnd"/>
      <w:r>
        <w:t xml:space="preserve"> and </w:t>
      </w:r>
      <w:proofErr w:type="spellStart"/>
      <w:r>
        <w:t>chloroquine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inhibit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 xml:space="preserve"> </w:t>
      </w:r>
      <w:proofErr w:type="spellStart"/>
      <w:r>
        <w:t>emerged</w:t>
      </w:r>
      <w:proofErr w:type="spellEnd"/>
      <w:r>
        <w:t xml:space="preserve"> novel </w:t>
      </w:r>
      <w:proofErr w:type="spellStart"/>
      <w:r>
        <w:t>coronavirus</w:t>
      </w:r>
      <w:proofErr w:type="spellEnd"/>
      <w:r>
        <w:t xml:space="preserve"> (</w:t>
      </w:r>
      <w:proofErr w:type="gramStart"/>
      <w:r>
        <w:t>2019-nCoV</w:t>
      </w:r>
      <w:proofErr w:type="gramEnd"/>
      <w:r>
        <w:t xml:space="preserve">) in vitro. Cell Res </w:t>
      </w:r>
      <w:proofErr w:type="spellStart"/>
      <w:r>
        <w:t>Published</w:t>
      </w:r>
      <w:proofErr w:type="spellEnd"/>
      <w:r>
        <w:t xml:space="preserve"> Online </w:t>
      </w:r>
      <w:proofErr w:type="spellStart"/>
      <w:r>
        <w:t>First</w:t>
      </w:r>
      <w:proofErr w:type="spellEnd"/>
      <w:r>
        <w:t xml:space="preserve">: 4 </w:t>
      </w:r>
      <w:proofErr w:type="spellStart"/>
      <w:r>
        <w:t>February</w:t>
      </w:r>
      <w:proofErr w:type="spellEnd"/>
      <w:r>
        <w:t xml:space="preserve"> 2020. doi:10.1038/s41422-020-0282-0 </w:t>
      </w:r>
    </w:p>
    <w:p w:rsidR="00C62B8D" w:rsidRDefault="002B2A97" w:rsidP="00F76AA7">
      <w:r>
        <w:t xml:space="preserve">7 Brown AJ, </w:t>
      </w:r>
      <w:proofErr w:type="spellStart"/>
      <w:r>
        <w:t>Won</w:t>
      </w:r>
      <w:proofErr w:type="spellEnd"/>
      <w:r>
        <w:t xml:space="preserve"> JJ, Graham RL, </w:t>
      </w:r>
      <w:proofErr w:type="spellStart"/>
      <w:r>
        <w:t>Dinnon</w:t>
      </w:r>
      <w:proofErr w:type="spellEnd"/>
      <w:r>
        <w:t xml:space="preserve"> KH, </w:t>
      </w:r>
      <w:proofErr w:type="spellStart"/>
      <w:r>
        <w:t>Sims</w:t>
      </w:r>
      <w:proofErr w:type="spellEnd"/>
      <w:r>
        <w:t xml:space="preserve"> AC, </w:t>
      </w:r>
      <w:proofErr w:type="spellStart"/>
      <w:r>
        <w:t>Feng</w:t>
      </w:r>
      <w:proofErr w:type="spellEnd"/>
      <w:r>
        <w:t xml:space="preserve"> JY, et al.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 </w:t>
      </w:r>
      <w:proofErr w:type="spellStart"/>
      <w:r>
        <w:t>antiviral</w:t>
      </w:r>
      <w:proofErr w:type="spellEnd"/>
      <w:r>
        <w:t xml:space="preserve"> </w:t>
      </w:r>
      <w:proofErr w:type="spellStart"/>
      <w:r>
        <w:t>remdesivir</w:t>
      </w:r>
      <w:proofErr w:type="spellEnd"/>
      <w:r>
        <w:t xml:space="preserve"> </w:t>
      </w:r>
      <w:proofErr w:type="spellStart"/>
      <w:r>
        <w:t>inhibits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endemic</w:t>
      </w:r>
      <w:proofErr w:type="spellEnd"/>
      <w:r>
        <w:t xml:space="preserve"> and </w:t>
      </w:r>
      <w:proofErr w:type="spellStart"/>
      <w:r>
        <w:t>zoonotic</w:t>
      </w:r>
      <w:proofErr w:type="spellEnd"/>
      <w:r>
        <w:t xml:space="preserve"> </w:t>
      </w:r>
      <w:proofErr w:type="spellStart"/>
      <w:r>
        <w:t>deltacoronaviruses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divergent</w:t>
      </w:r>
      <w:proofErr w:type="spellEnd"/>
      <w:r>
        <w:t xml:space="preserve"> RNA </w:t>
      </w:r>
      <w:proofErr w:type="spellStart"/>
      <w:r>
        <w:t>dependent</w:t>
      </w:r>
      <w:proofErr w:type="spellEnd"/>
      <w:r>
        <w:t xml:space="preserve"> RNA </w:t>
      </w:r>
      <w:proofErr w:type="spellStart"/>
      <w:r>
        <w:t>polymerase</w:t>
      </w:r>
      <w:proofErr w:type="spellEnd"/>
      <w:r>
        <w:t xml:space="preserve">. </w:t>
      </w:r>
      <w:proofErr w:type="spellStart"/>
      <w:r>
        <w:t>Antiviral</w:t>
      </w:r>
      <w:proofErr w:type="spellEnd"/>
      <w:r>
        <w:t xml:space="preserve"> Res 2019; 169:104541. </w:t>
      </w:r>
    </w:p>
    <w:p w:rsidR="00C62B8D" w:rsidRDefault="002B2A97" w:rsidP="00F76AA7">
      <w:r>
        <w:lastRenderedPageBreak/>
        <w:t xml:space="preserve">8 Vincent MJ, </w:t>
      </w:r>
      <w:proofErr w:type="spellStart"/>
      <w:r>
        <w:t>Bergeron</w:t>
      </w:r>
      <w:proofErr w:type="spellEnd"/>
      <w:r>
        <w:t xml:space="preserve"> E, </w:t>
      </w:r>
      <w:proofErr w:type="spellStart"/>
      <w:r>
        <w:t>Benjannet</w:t>
      </w:r>
      <w:proofErr w:type="spellEnd"/>
      <w:r>
        <w:t xml:space="preserve"> S, </w:t>
      </w:r>
      <w:proofErr w:type="spellStart"/>
      <w:r>
        <w:t>Erickson</w:t>
      </w:r>
      <w:proofErr w:type="spellEnd"/>
      <w:r>
        <w:t xml:space="preserve"> BR, </w:t>
      </w:r>
      <w:proofErr w:type="spellStart"/>
      <w:r>
        <w:t>Rollin</w:t>
      </w:r>
      <w:proofErr w:type="spellEnd"/>
      <w:r>
        <w:t xml:space="preserve"> PE, </w:t>
      </w:r>
      <w:proofErr w:type="spellStart"/>
      <w:r>
        <w:t>Ksiazek</w:t>
      </w:r>
      <w:proofErr w:type="spellEnd"/>
      <w:r>
        <w:t xml:space="preserve"> TG, et al. </w:t>
      </w:r>
      <w:proofErr w:type="spellStart"/>
      <w:r>
        <w:t>Chloroquine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potent</w:t>
      </w:r>
      <w:proofErr w:type="spellEnd"/>
      <w:r>
        <w:t xml:space="preserve"> inhibitor </w:t>
      </w:r>
      <w:proofErr w:type="spellStart"/>
      <w:r>
        <w:t>of</w:t>
      </w:r>
      <w:proofErr w:type="spellEnd"/>
      <w:r>
        <w:t xml:space="preserve"> SARS </w:t>
      </w:r>
      <w:proofErr w:type="spellStart"/>
      <w:r>
        <w:t>coronavirus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and </w:t>
      </w:r>
      <w:proofErr w:type="spellStart"/>
      <w:r>
        <w:t>spread</w:t>
      </w:r>
      <w:proofErr w:type="spellEnd"/>
      <w:r>
        <w:t xml:space="preserve">. </w:t>
      </w:r>
      <w:proofErr w:type="spellStart"/>
      <w:r>
        <w:t>Virol</w:t>
      </w:r>
      <w:proofErr w:type="spellEnd"/>
      <w:r>
        <w:t xml:space="preserve"> J 2005; 2:69. </w:t>
      </w:r>
    </w:p>
    <w:p w:rsidR="00C62B8D" w:rsidRDefault="002B2A97" w:rsidP="00F76AA7">
      <w:r>
        <w:t xml:space="preserve">9 </w:t>
      </w:r>
      <w:proofErr w:type="spellStart"/>
      <w:r>
        <w:t>Keyaerts</w:t>
      </w:r>
      <w:proofErr w:type="spellEnd"/>
      <w:r>
        <w:t xml:space="preserve"> E, </w:t>
      </w:r>
      <w:proofErr w:type="spellStart"/>
      <w:r>
        <w:t>Vijgen</w:t>
      </w:r>
      <w:proofErr w:type="spellEnd"/>
      <w:r>
        <w:t xml:space="preserve"> L, </w:t>
      </w:r>
      <w:proofErr w:type="spellStart"/>
      <w:r>
        <w:t>Maes</w:t>
      </w:r>
      <w:proofErr w:type="spellEnd"/>
      <w:r>
        <w:t xml:space="preserve"> P, </w:t>
      </w:r>
      <w:proofErr w:type="spellStart"/>
      <w:r>
        <w:t>Neyts</w:t>
      </w:r>
      <w:proofErr w:type="spellEnd"/>
      <w:r>
        <w:t xml:space="preserve"> J, Van </w:t>
      </w:r>
      <w:proofErr w:type="spellStart"/>
      <w:r>
        <w:t>Ranst</w:t>
      </w:r>
      <w:proofErr w:type="spellEnd"/>
      <w:r>
        <w:t xml:space="preserve"> M. In vitro </w:t>
      </w:r>
      <w:proofErr w:type="spellStart"/>
      <w:r>
        <w:t>inhibition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severe</w:t>
      </w:r>
      <w:proofErr w:type="gramEnd"/>
      <w:r>
        <w:t xml:space="preserve">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syndrome </w:t>
      </w:r>
      <w:proofErr w:type="spellStart"/>
      <w:r>
        <w:t>coronavirus</w:t>
      </w:r>
      <w:proofErr w:type="spellEnd"/>
      <w:r>
        <w:t xml:space="preserve"> by </w:t>
      </w:r>
      <w:proofErr w:type="spellStart"/>
      <w:r>
        <w:t>chloroquine</w:t>
      </w:r>
      <w:proofErr w:type="spellEnd"/>
      <w:r>
        <w:t xml:space="preserve">. </w:t>
      </w:r>
      <w:proofErr w:type="spellStart"/>
      <w:r>
        <w:t>Biochem</w:t>
      </w:r>
      <w:proofErr w:type="spellEnd"/>
      <w:r>
        <w:t xml:space="preserve"> </w:t>
      </w:r>
      <w:proofErr w:type="spellStart"/>
      <w:r>
        <w:t>Biophys</w:t>
      </w:r>
      <w:proofErr w:type="spellEnd"/>
      <w:r>
        <w:t xml:space="preserve"> Res </w:t>
      </w:r>
      <w:proofErr w:type="spellStart"/>
      <w:r>
        <w:t>Commun</w:t>
      </w:r>
      <w:proofErr w:type="spellEnd"/>
      <w:r>
        <w:t xml:space="preserve"> 2004; 323:264–268. </w:t>
      </w:r>
    </w:p>
    <w:p w:rsidR="00C62B8D" w:rsidRDefault="002B2A97" w:rsidP="00F76AA7">
      <w:r>
        <w:t xml:space="preserve">10 de Wilde AH, </w:t>
      </w:r>
      <w:proofErr w:type="spellStart"/>
      <w:r>
        <w:t>Jochmans</w:t>
      </w:r>
      <w:proofErr w:type="spellEnd"/>
      <w:r>
        <w:t xml:space="preserve"> D, Posthuma CC, </w:t>
      </w:r>
      <w:proofErr w:type="spellStart"/>
      <w:r>
        <w:t>Zevenhoven-Dobbe</w:t>
      </w:r>
      <w:proofErr w:type="spellEnd"/>
      <w:r>
        <w:t xml:space="preserve"> JC, van </w:t>
      </w:r>
      <w:proofErr w:type="spellStart"/>
      <w:r>
        <w:t>Nieuwkoop</w:t>
      </w:r>
      <w:proofErr w:type="spellEnd"/>
      <w:r>
        <w:t xml:space="preserve"> S, </w:t>
      </w:r>
      <w:proofErr w:type="spellStart"/>
      <w:r>
        <w:t>Bestebroer</w:t>
      </w:r>
      <w:proofErr w:type="spellEnd"/>
      <w:r>
        <w:t xml:space="preserve"> TM, et al. </w:t>
      </w:r>
      <w:proofErr w:type="spellStart"/>
      <w:r>
        <w:t>Screening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FDA-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compound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identifies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small-molecule</w:t>
      </w:r>
      <w:proofErr w:type="spellEnd"/>
      <w:r>
        <w:t xml:space="preserve"> </w:t>
      </w:r>
      <w:proofErr w:type="spellStart"/>
      <w:r>
        <w:t>inhibitors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East </w:t>
      </w:r>
      <w:proofErr w:type="spellStart"/>
      <w:r>
        <w:t>respiratory</w:t>
      </w:r>
      <w:proofErr w:type="spellEnd"/>
      <w:r>
        <w:t xml:space="preserve"> syndrome </w:t>
      </w:r>
      <w:proofErr w:type="spellStart"/>
      <w:r>
        <w:t>coronavirus</w:t>
      </w:r>
      <w:proofErr w:type="spellEnd"/>
      <w:r>
        <w:t xml:space="preserve"> </w:t>
      </w:r>
      <w:proofErr w:type="spellStart"/>
      <w:r>
        <w:t>replication</w:t>
      </w:r>
      <w:proofErr w:type="spellEnd"/>
      <w:r>
        <w:t xml:space="preserve"> in cell </w:t>
      </w:r>
      <w:proofErr w:type="spellStart"/>
      <w:r>
        <w:t>culture</w:t>
      </w:r>
      <w:proofErr w:type="spellEnd"/>
      <w:r>
        <w:t xml:space="preserve">. </w:t>
      </w:r>
      <w:proofErr w:type="spellStart"/>
      <w:r>
        <w:t>Antimicrob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 </w:t>
      </w:r>
      <w:proofErr w:type="spellStart"/>
      <w:r>
        <w:t>Chemother</w:t>
      </w:r>
      <w:proofErr w:type="spellEnd"/>
      <w:r>
        <w:t xml:space="preserve"> 2014; 58:4875–4884. </w:t>
      </w:r>
    </w:p>
    <w:p w:rsidR="00C62B8D" w:rsidRDefault="002B2A97" w:rsidP="00F76AA7">
      <w:r>
        <w:t xml:space="preserve">11 </w:t>
      </w:r>
      <w:proofErr w:type="spellStart"/>
      <w:r>
        <w:t>Barnard</w:t>
      </w:r>
      <w:proofErr w:type="spellEnd"/>
      <w:r>
        <w:t xml:space="preserve"> DL, </w:t>
      </w:r>
      <w:proofErr w:type="spellStart"/>
      <w:r>
        <w:t>Day</w:t>
      </w:r>
      <w:proofErr w:type="spellEnd"/>
      <w:r>
        <w:t xml:space="preserve"> CW, </w:t>
      </w:r>
      <w:proofErr w:type="spellStart"/>
      <w:r>
        <w:t>Bailey</w:t>
      </w:r>
      <w:proofErr w:type="spellEnd"/>
      <w:r>
        <w:t xml:space="preserve"> K, </w:t>
      </w:r>
      <w:proofErr w:type="spellStart"/>
      <w:r>
        <w:t>Heiner</w:t>
      </w:r>
      <w:proofErr w:type="spellEnd"/>
      <w:r>
        <w:t xml:space="preserve"> M, Montgomery R, </w:t>
      </w:r>
      <w:proofErr w:type="spellStart"/>
      <w:r>
        <w:t>Lauridsen</w:t>
      </w:r>
      <w:proofErr w:type="spellEnd"/>
      <w:r>
        <w:t xml:space="preserve"> L, et al.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Immunomodulators</w:t>
      </w:r>
      <w:proofErr w:type="spellEnd"/>
      <w:r>
        <w:t xml:space="preserve">, </w:t>
      </w:r>
      <w:proofErr w:type="spellStart"/>
      <w:r>
        <w:t>Interferons</w:t>
      </w:r>
      <w:proofErr w:type="spellEnd"/>
      <w:r>
        <w:t xml:space="preserve"> and </w:t>
      </w:r>
      <w:proofErr w:type="spellStart"/>
      <w:r>
        <w:t>Known</w:t>
      </w:r>
      <w:proofErr w:type="spellEnd"/>
      <w:r>
        <w:t xml:space="preserve"> in Vitro SARS-</w:t>
      </w:r>
      <w:proofErr w:type="spellStart"/>
      <w:r>
        <w:t>CoV</w:t>
      </w:r>
      <w:proofErr w:type="spellEnd"/>
      <w:r>
        <w:t xml:space="preserve"> </w:t>
      </w:r>
      <w:proofErr w:type="spellStart"/>
      <w:r>
        <w:t>Inhibitors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Inhibition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SARSCov</w:t>
      </w:r>
      <w:proofErr w:type="spellEnd"/>
      <w:r>
        <w:t xml:space="preserve"> </w:t>
      </w:r>
      <w:proofErr w:type="spellStart"/>
      <w:r>
        <w:t>Replication</w:t>
      </w:r>
      <w:proofErr w:type="spellEnd"/>
      <w:r>
        <w:t xml:space="preserve"> in BALB/c </w:t>
      </w:r>
      <w:proofErr w:type="spellStart"/>
      <w:r>
        <w:t>Mice</w:t>
      </w:r>
      <w:proofErr w:type="spellEnd"/>
      <w:r>
        <w:t xml:space="preserve">. </w:t>
      </w:r>
      <w:proofErr w:type="spellStart"/>
      <w:r>
        <w:t>Antiviral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and </w:t>
      </w:r>
      <w:proofErr w:type="spellStart"/>
      <w:r>
        <w:t>Chemotherapy</w:t>
      </w:r>
      <w:proofErr w:type="spellEnd"/>
      <w:r>
        <w:t xml:space="preserve"> 2006; 17:275–284. </w:t>
      </w:r>
    </w:p>
    <w:p w:rsidR="00C62B8D" w:rsidRDefault="002B2A97" w:rsidP="00F76AA7">
      <w:r>
        <w:t xml:space="preserve">12 </w:t>
      </w:r>
      <w:proofErr w:type="spellStart"/>
      <w:r>
        <w:t>multicenter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Department </w:t>
      </w:r>
      <w:proofErr w:type="spellStart"/>
      <w:r>
        <w:t>of</w:t>
      </w:r>
      <w:proofErr w:type="spellEnd"/>
      <w:r>
        <w:t xml:space="preserve"> Science and Technology </w:t>
      </w:r>
      <w:proofErr w:type="spellStart"/>
      <w:r>
        <w:t>of</w:t>
      </w:r>
      <w:proofErr w:type="spellEnd"/>
      <w:r>
        <w:t xml:space="preserve"> </w:t>
      </w:r>
      <w:proofErr w:type="spellStart"/>
      <w:r>
        <w:t>Guangdong</w:t>
      </w:r>
      <w:proofErr w:type="spellEnd"/>
      <w:r>
        <w:t xml:space="preserve"> </w:t>
      </w:r>
      <w:proofErr w:type="spellStart"/>
      <w:r>
        <w:t>Province</w:t>
      </w:r>
      <w:proofErr w:type="spellEnd"/>
      <w:r>
        <w:t xml:space="preserve"> and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Guangdong</w:t>
      </w:r>
      <w:proofErr w:type="spellEnd"/>
      <w:r>
        <w:t xml:space="preserve"> </w:t>
      </w:r>
      <w:proofErr w:type="spellStart"/>
      <w:r>
        <w:t>Province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chloroquine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novel </w:t>
      </w:r>
      <w:proofErr w:type="spellStart"/>
      <w:r>
        <w:t>coronavirus</w:t>
      </w:r>
      <w:proofErr w:type="spellEnd"/>
      <w:r>
        <w:t xml:space="preserve"> </w:t>
      </w:r>
      <w:proofErr w:type="spellStart"/>
      <w:r>
        <w:t>pneumonia</w:t>
      </w:r>
      <w:proofErr w:type="spellEnd"/>
      <w:r>
        <w:t xml:space="preserve">. [Expert </w:t>
      </w:r>
      <w:proofErr w:type="spellStart"/>
      <w:r>
        <w:t>consensus</w:t>
      </w:r>
      <w:proofErr w:type="spellEnd"/>
      <w:r>
        <w:t xml:space="preserve"> on </w:t>
      </w:r>
      <w:proofErr w:type="spellStart"/>
      <w:r>
        <w:t>chloroquine</w:t>
      </w:r>
      <w:proofErr w:type="spellEnd"/>
      <w:r>
        <w:t xml:space="preserve"> </w:t>
      </w:r>
      <w:proofErr w:type="spellStart"/>
      <w:r>
        <w:t>phosphate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novel </w:t>
      </w:r>
      <w:proofErr w:type="spellStart"/>
      <w:r>
        <w:t>coronavirus</w:t>
      </w:r>
      <w:proofErr w:type="spellEnd"/>
      <w:r>
        <w:t xml:space="preserve"> </w:t>
      </w:r>
      <w:proofErr w:type="spellStart"/>
      <w:r>
        <w:t>pneumonia</w:t>
      </w:r>
      <w:proofErr w:type="spellEnd"/>
      <w:r>
        <w:t xml:space="preserve">]. </w:t>
      </w:r>
      <w:proofErr w:type="spellStart"/>
      <w:r>
        <w:t>Zhonghua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He </w:t>
      </w:r>
      <w:proofErr w:type="spellStart"/>
      <w:r>
        <w:t>He</w:t>
      </w:r>
      <w:proofErr w:type="spellEnd"/>
      <w:r>
        <w:t xml:space="preserve"> </w:t>
      </w:r>
      <w:proofErr w:type="spellStart"/>
      <w:r>
        <w:t>Hu</w:t>
      </w:r>
      <w:proofErr w:type="spellEnd"/>
      <w:r>
        <w:t xml:space="preserve"> </w:t>
      </w:r>
      <w:proofErr w:type="spellStart"/>
      <w:r>
        <w:t>Xi</w:t>
      </w:r>
      <w:proofErr w:type="spellEnd"/>
      <w:r>
        <w:t xml:space="preserve"> Za </w:t>
      </w:r>
      <w:proofErr w:type="spellStart"/>
      <w:r>
        <w:t>Zhi</w:t>
      </w:r>
      <w:proofErr w:type="spellEnd"/>
      <w:r>
        <w:t xml:space="preserve"> 2020; 43:E019. </w:t>
      </w:r>
    </w:p>
    <w:p w:rsidR="00C62B8D" w:rsidRDefault="002B2A97" w:rsidP="00F76AA7">
      <w:r>
        <w:t xml:space="preserve">13 Biot C, </w:t>
      </w:r>
      <w:proofErr w:type="spellStart"/>
      <w:r>
        <w:t>Daher</w:t>
      </w:r>
      <w:proofErr w:type="spellEnd"/>
      <w:r>
        <w:t xml:space="preserve"> W, </w:t>
      </w:r>
      <w:proofErr w:type="spellStart"/>
      <w:r>
        <w:t>Chavain</w:t>
      </w:r>
      <w:proofErr w:type="spellEnd"/>
      <w:r>
        <w:t xml:space="preserve"> N, </w:t>
      </w:r>
      <w:proofErr w:type="spellStart"/>
      <w:r>
        <w:t>Fandeur</w:t>
      </w:r>
      <w:proofErr w:type="spellEnd"/>
      <w:r>
        <w:t xml:space="preserve"> T, </w:t>
      </w:r>
      <w:proofErr w:type="spellStart"/>
      <w:r>
        <w:t>Khalife</w:t>
      </w:r>
      <w:proofErr w:type="spellEnd"/>
      <w:r>
        <w:t xml:space="preserve"> J, Dive D, et al. Design and </w:t>
      </w:r>
      <w:proofErr w:type="spellStart"/>
      <w:r>
        <w:t>Synthesis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Hydroxyferroquine</w:t>
      </w:r>
      <w:proofErr w:type="spellEnd"/>
      <w:r>
        <w:t xml:space="preserve"> </w:t>
      </w:r>
      <w:proofErr w:type="spellStart"/>
      <w:r>
        <w:t>Derivatives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Antimalarial</w:t>
      </w:r>
      <w:proofErr w:type="spellEnd"/>
      <w:r>
        <w:t xml:space="preserve"> and </w:t>
      </w:r>
      <w:proofErr w:type="spellStart"/>
      <w:r>
        <w:t>Antiviral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J Med </w:t>
      </w:r>
      <w:proofErr w:type="spellStart"/>
      <w:r>
        <w:t>Chem</w:t>
      </w:r>
      <w:proofErr w:type="spellEnd"/>
      <w:r>
        <w:t xml:space="preserve"> 2006; 49:2845–2849. </w:t>
      </w:r>
    </w:p>
    <w:p w:rsidR="00C62B8D" w:rsidRDefault="002B2A97" w:rsidP="00F76AA7">
      <w:r>
        <w:t xml:space="preserve">14 </w:t>
      </w:r>
      <w:proofErr w:type="spellStart"/>
      <w:r>
        <w:t>Yao</w:t>
      </w:r>
      <w:proofErr w:type="spellEnd"/>
      <w:r>
        <w:t xml:space="preserve"> X, </w:t>
      </w:r>
      <w:proofErr w:type="spellStart"/>
      <w:r>
        <w:t>Ye</w:t>
      </w:r>
      <w:proofErr w:type="spellEnd"/>
      <w:r>
        <w:t xml:space="preserve"> F, </w:t>
      </w:r>
      <w:proofErr w:type="spellStart"/>
      <w:r>
        <w:t>Zhang</w:t>
      </w:r>
      <w:proofErr w:type="spellEnd"/>
      <w:r>
        <w:t xml:space="preserve"> M, Cui C, </w:t>
      </w:r>
      <w:proofErr w:type="spellStart"/>
      <w:r>
        <w:t>Huang</w:t>
      </w:r>
      <w:proofErr w:type="spellEnd"/>
      <w:r>
        <w:t xml:space="preserve"> B, </w:t>
      </w:r>
      <w:proofErr w:type="spellStart"/>
      <w:r>
        <w:t>Niu</w:t>
      </w:r>
      <w:proofErr w:type="spellEnd"/>
      <w:r>
        <w:t xml:space="preserve"> P, et al. In Vitro </w:t>
      </w:r>
      <w:proofErr w:type="spellStart"/>
      <w:r>
        <w:t>Antiviral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and </w:t>
      </w:r>
      <w:proofErr w:type="spellStart"/>
      <w:r>
        <w:t>Projection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Optimized</w:t>
      </w:r>
      <w:proofErr w:type="spellEnd"/>
      <w:r>
        <w:t xml:space="preserve"> </w:t>
      </w:r>
      <w:proofErr w:type="spellStart"/>
      <w:r>
        <w:t>Dosing</w:t>
      </w:r>
      <w:proofErr w:type="spellEnd"/>
      <w:r>
        <w:t xml:space="preserve"> Design </w:t>
      </w:r>
      <w:proofErr w:type="spellStart"/>
      <w:r>
        <w:t>of</w:t>
      </w:r>
      <w:proofErr w:type="spellEnd"/>
      <w:r>
        <w:t xml:space="preserve"> </w:t>
      </w:r>
      <w:proofErr w:type="spellStart"/>
      <w:r>
        <w:t>Hydroxychloroquine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Severe</w:t>
      </w:r>
      <w:proofErr w:type="gramEnd"/>
      <w:r>
        <w:t xml:space="preserve">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Syndrome </w:t>
      </w:r>
      <w:proofErr w:type="spellStart"/>
      <w:r>
        <w:t>Coronavirus</w:t>
      </w:r>
      <w:proofErr w:type="spellEnd"/>
      <w:r>
        <w:t xml:space="preserve"> 2 (SARS-CoV-2).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Infect</w:t>
      </w:r>
      <w:proofErr w:type="spellEnd"/>
      <w:r>
        <w:t xml:space="preserve"> Dis </w:t>
      </w:r>
      <w:proofErr w:type="spellStart"/>
      <w:r>
        <w:t>Published</w:t>
      </w:r>
      <w:proofErr w:type="spellEnd"/>
      <w:r>
        <w:t xml:space="preserve"> Online </w:t>
      </w:r>
      <w:proofErr w:type="spellStart"/>
      <w:r>
        <w:t>First</w:t>
      </w:r>
      <w:proofErr w:type="spellEnd"/>
      <w:r>
        <w:t xml:space="preserve">: 9 </w:t>
      </w:r>
      <w:proofErr w:type="spellStart"/>
      <w:r>
        <w:t>March</w:t>
      </w:r>
      <w:proofErr w:type="spellEnd"/>
      <w:r>
        <w:t xml:space="preserve"> 2020. doi:10.1093/</w:t>
      </w:r>
      <w:proofErr w:type="spellStart"/>
      <w:r>
        <w:t>cid</w:t>
      </w:r>
      <w:proofErr w:type="spellEnd"/>
      <w:r>
        <w:t xml:space="preserve">/ciaa237 </w:t>
      </w:r>
    </w:p>
    <w:p w:rsidR="00C62B8D" w:rsidRDefault="002B2A97" w:rsidP="00F76AA7">
      <w:r>
        <w:t xml:space="preserve">15 </w:t>
      </w:r>
      <w:proofErr w:type="spellStart"/>
      <w:r>
        <w:t>Gautret</w:t>
      </w:r>
      <w:proofErr w:type="spellEnd"/>
      <w:r>
        <w:t xml:space="preserve"> P, </w:t>
      </w:r>
      <w:proofErr w:type="spellStart"/>
      <w:r>
        <w:t>Lagier</w:t>
      </w:r>
      <w:proofErr w:type="spellEnd"/>
      <w:r>
        <w:t xml:space="preserve"> J, </w:t>
      </w:r>
      <w:proofErr w:type="spellStart"/>
      <w:r>
        <w:t>Parola</w:t>
      </w:r>
      <w:proofErr w:type="spellEnd"/>
      <w:r>
        <w:t xml:space="preserve"> P, </w:t>
      </w:r>
      <w:proofErr w:type="spellStart"/>
      <w:r>
        <w:t>Hoang</w:t>
      </w:r>
      <w:proofErr w:type="spellEnd"/>
      <w:r>
        <w:t xml:space="preserve"> V, </w:t>
      </w:r>
      <w:proofErr w:type="spellStart"/>
      <w:r>
        <w:t>Meddeb</w:t>
      </w:r>
      <w:proofErr w:type="spellEnd"/>
      <w:r>
        <w:t xml:space="preserve"> L, </w:t>
      </w:r>
      <w:proofErr w:type="spellStart"/>
      <w:r>
        <w:t>Mailhe</w:t>
      </w:r>
      <w:proofErr w:type="spellEnd"/>
      <w:r>
        <w:t xml:space="preserve"> M, et al. </w:t>
      </w:r>
      <w:proofErr w:type="spellStart"/>
      <w:r>
        <w:t>Hydroxychloroquine</w:t>
      </w:r>
      <w:proofErr w:type="spellEnd"/>
      <w:r>
        <w:t xml:space="preserve"> and </w:t>
      </w:r>
      <w:proofErr w:type="spellStart"/>
      <w:r>
        <w:t>azithromycin</w:t>
      </w:r>
      <w:proofErr w:type="spellEnd"/>
      <w:r>
        <w:t xml:space="preserve"> as a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COVID-19: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open-label non-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trial. International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Antimicrobial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. In </w:t>
      </w:r>
      <w:proofErr w:type="spellStart"/>
      <w:r>
        <w:t>Press</w:t>
      </w:r>
      <w:proofErr w:type="spellEnd"/>
      <w:r>
        <w:t xml:space="preserve">. </w:t>
      </w:r>
    </w:p>
    <w:p w:rsidR="00C62B8D" w:rsidRDefault="002B2A97" w:rsidP="00F76AA7">
      <w:r>
        <w:t xml:space="preserve">16 </w:t>
      </w:r>
      <w:proofErr w:type="spellStart"/>
      <w:r>
        <w:t>Chen</w:t>
      </w:r>
      <w:proofErr w:type="spellEnd"/>
      <w:r>
        <w:t xml:space="preserve"> F, </w:t>
      </w:r>
      <w:proofErr w:type="spellStart"/>
      <w:r>
        <w:t>Chan</w:t>
      </w:r>
      <w:proofErr w:type="spellEnd"/>
      <w:r>
        <w:t xml:space="preserve"> K., </w:t>
      </w:r>
      <w:proofErr w:type="spellStart"/>
      <w:r>
        <w:t>Jiang</w:t>
      </w:r>
      <w:proofErr w:type="spellEnd"/>
      <w:r>
        <w:t xml:space="preserve"> Y, </w:t>
      </w:r>
      <w:proofErr w:type="spellStart"/>
      <w:r>
        <w:t>Kao</w:t>
      </w:r>
      <w:proofErr w:type="spellEnd"/>
      <w:r>
        <w:t xml:space="preserve"> RY., </w:t>
      </w:r>
      <w:proofErr w:type="spellStart"/>
      <w:r>
        <w:t>Lu</w:t>
      </w:r>
      <w:proofErr w:type="spellEnd"/>
      <w:r>
        <w:t xml:space="preserve"> H., </w:t>
      </w:r>
      <w:proofErr w:type="spellStart"/>
      <w:r>
        <w:t>Fan</w:t>
      </w:r>
      <w:proofErr w:type="spellEnd"/>
      <w:r>
        <w:t xml:space="preserve"> K., et al. In vitro susceptibility </w:t>
      </w:r>
      <w:proofErr w:type="spellStart"/>
      <w:r>
        <w:t>of</w:t>
      </w:r>
      <w:proofErr w:type="spellEnd"/>
      <w:r>
        <w:t xml:space="preserve"> 10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isolates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SARS </w:t>
      </w:r>
      <w:proofErr w:type="spellStart"/>
      <w:r>
        <w:t>coronavirus</w:t>
      </w:r>
      <w:proofErr w:type="spellEnd"/>
      <w:r>
        <w:t xml:space="preserve"> to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antiviral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Virology 2004; 31:69–75. </w:t>
      </w:r>
    </w:p>
    <w:p w:rsidR="00C62B8D" w:rsidRDefault="002B2A97" w:rsidP="00F76AA7">
      <w:r>
        <w:t xml:space="preserve">17 </w:t>
      </w:r>
      <w:proofErr w:type="spellStart"/>
      <w:r>
        <w:t>Yamamoto</w:t>
      </w:r>
      <w:proofErr w:type="spellEnd"/>
      <w:r>
        <w:t xml:space="preserve"> N, </w:t>
      </w:r>
      <w:proofErr w:type="spellStart"/>
      <w:r>
        <w:t>Yang</w:t>
      </w:r>
      <w:proofErr w:type="spellEnd"/>
      <w:r>
        <w:t xml:space="preserve"> R, </w:t>
      </w:r>
      <w:proofErr w:type="spellStart"/>
      <w:r>
        <w:t>Yoshinaka</w:t>
      </w:r>
      <w:proofErr w:type="spellEnd"/>
      <w:r>
        <w:t xml:space="preserve"> Y, </w:t>
      </w:r>
      <w:proofErr w:type="spellStart"/>
      <w:r>
        <w:t>Amari</w:t>
      </w:r>
      <w:proofErr w:type="spellEnd"/>
      <w:r>
        <w:t xml:space="preserve"> S, </w:t>
      </w:r>
      <w:proofErr w:type="spellStart"/>
      <w:r>
        <w:t>Nakano</w:t>
      </w:r>
      <w:proofErr w:type="spellEnd"/>
      <w:r>
        <w:t xml:space="preserve"> T, </w:t>
      </w:r>
      <w:proofErr w:type="spellStart"/>
      <w:r>
        <w:t>Cinatl</w:t>
      </w:r>
      <w:proofErr w:type="spellEnd"/>
      <w:r>
        <w:t xml:space="preserve"> J, et al. HIV </w:t>
      </w:r>
      <w:proofErr w:type="spellStart"/>
      <w:r>
        <w:t>protease</w:t>
      </w:r>
      <w:proofErr w:type="spellEnd"/>
      <w:r>
        <w:t xml:space="preserve"> inhibitor </w:t>
      </w:r>
      <w:proofErr w:type="spellStart"/>
      <w:r>
        <w:t>nelfinavir</w:t>
      </w:r>
      <w:proofErr w:type="spellEnd"/>
      <w:r>
        <w:t xml:space="preserve"> </w:t>
      </w:r>
      <w:proofErr w:type="spellStart"/>
      <w:r>
        <w:t>inhibits</w:t>
      </w:r>
      <w:proofErr w:type="spellEnd"/>
      <w:r>
        <w:t xml:space="preserve"> </w:t>
      </w:r>
      <w:proofErr w:type="spellStart"/>
      <w:r>
        <w:t>replication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SARS-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coronavirus</w:t>
      </w:r>
      <w:proofErr w:type="spellEnd"/>
      <w:r>
        <w:t xml:space="preserve">. </w:t>
      </w:r>
      <w:proofErr w:type="spellStart"/>
      <w:r>
        <w:t>Biochemical</w:t>
      </w:r>
      <w:proofErr w:type="spellEnd"/>
      <w:r>
        <w:t xml:space="preserve"> and </w:t>
      </w:r>
      <w:proofErr w:type="spellStart"/>
      <w:r>
        <w:t>Biophysical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Communications 2004; 318:719–725. </w:t>
      </w:r>
    </w:p>
    <w:p w:rsidR="00C62B8D" w:rsidRDefault="002B2A97" w:rsidP="00F76AA7">
      <w:r>
        <w:t xml:space="preserve">18 </w:t>
      </w:r>
      <w:proofErr w:type="spellStart"/>
      <w:r>
        <w:t>Chu</w:t>
      </w:r>
      <w:proofErr w:type="spellEnd"/>
      <w:r>
        <w:t xml:space="preserve"> CM, </w:t>
      </w:r>
      <w:proofErr w:type="spellStart"/>
      <w:r>
        <w:t>Cheng</w:t>
      </w:r>
      <w:proofErr w:type="spellEnd"/>
      <w:r>
        <w:t xml:space="preserve"> VCC, Hung IFN, </w:t>
      </w:r>
      <w:proofErr w:type="spellStart"/>
      <w:r>
        <w:t>Wong</w:t>
      </w:r>
      <w:proofErr w:type="spellEnd"/>
      <w:r>
        <w:t xml:space="preserve"> MML, </w:t>
      </w:r>
      <w:proofErr w:type="spellStart"/>
      <w:r>
        <w:t>Chan</w:t>
      </w:r>
      <w:proofErr w:type="spellEnd"/>
      <w:r>
        <w:t xml:space="preserve"> KH, </w:t>
      </w:r>
      <w:proofErr w:type="spellStart"/>
      <w:r>
        <w:t>Chan</w:t>
      </w:r>
      <w:proofErr w:type="spellEnd"/>
      <w:r>
        <w:t xml:space="preserve"> KS, et al.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lopinavir</w:t>
      </w:r>
      <w:proofErr w:type="spellEnd"/>
      <w:r>
        <w:t>/</w:t>
      </w:r>
      <w:proofErr w:type="spellStart"/>
      <w:r>
        <w:t>ritonavir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SARS: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virological</w:t>
      </w:r>
      <w:proofErr w:type="spellEnd"/>
      <w:r>
        <w:t xml:space="preserve"> and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. </w:t>
      </w:r>
      <w:proofErr w:type="spellStart"/>
      <w:r>
        <w:t>Thorax</w:t>
      </w:r>
      <w:proofErr w:type="spellEnd"/>
      <w:r>
        <w:t xml:space="preserve"> 2004; 59:252–256. </w:t>
      </w:r>
    </w:p>
    <w:p w:rsidR="00C62B8D" w:rsidRDefault="002B2A97" w:rsidP="00F76AA7">
      <w:r>
        <w:t xml:space="preserve">19 </w:t>
      </w:r>
      <w:proofErr w:type="spellStart"/>
      <w:r>
        <w:t>Chan</w:t>
      </w:r>
      <w:proofErr w:type="spellEnd"/>
      <w:r>
        <w:t xml:space="preserve"> JFW, </w:t>
      </w:r>
      <w:proofErr w:type="spellStart"/>
      <w:r>
        <w:t>Chan</w:t>
      </w:r>
      <w:proofErr w:type="spellEnd"/>
      <w:r>
        <w:t xml:space="preserve"> K-H, </w:t>
      </w:r>
      <w:proofErr w:type="spellStart"/>
      <w:r>
        <w:t>Kao</w:t>
      </w:r>
      <w:proofErr w:type="spellEnd"/>
      <w:r>
        <w:t xml:space="preserve"> RYT, To KKW, </w:t>
      </w:r>
      <w:proofErr w:type="spellStart"/>
      <w:r>
        <w:t>Zheng</w:t>
      </w:r>
      <w:proofErr w:type="spellEnd"/>
      <w:r>
        <w:t xml:space="preserve"> B-J, </w:t>
      </w:r>
      <w:proofErr w:type="spellStart"/>
      <w:r>
        <w:t>Li</w:t>
      </w:r>
      <w:proofErr w:type="spellEnd"/>
      <w:r>
        <w:t xml:space="preserve"> CPY, et al. </w:t>
      </w:r>
      <w:proofErr w:type="spellStart"/>
      <w:r>
        <w:t>Broad-spectrum</w:t>
      </w:r>
      <w:proofErr w:type="spellEnd"/>
      <w:r>
        <w:t xml:space="preserve"> </w:t>
      </w:r>
      <w:proofErr w:type="spellStart"/>
      <w:r>
        <w:t>antivirals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East </w:t>
      </w:r>
      <w:proofErr w:type="spellStart"/>
      <w:r>
        <w:t>respiratory</w:t>
      </w:r>
      <w:proofErr w:type="spellEnd"/>
      <w:r>
        <w:t xml:space="preserve"> syndrome </w:t>
      </w:r>
      <w:proofErr w:type="spellStart"/>
      <w:r>
        <w:t>coronavirus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2013; 67:606–616. </w:t>
      </w:r>
    </w:p>
    <w:p w:rsidR="00C62B8D" w:rsidRDefault="002B2A97" w:rsidP="00F76AA7">
      <w:r>
        <w:t xml:space="preserve">20 </w:t>
      </w:r>
      <w:proofErr w:type="spellStart"/>
      <w:r>
        <w:t>Chan</w:t>
      </w:r>
      <w:proofErr w:type="spellEnd"/>
      <w:r>
        <w:t xml:space="preserve"> JF-W, </w:t>
      </w:r>
      <w:proofErr w:type="spellStart"/>
      <w:r>
        <w:t>Yao</w:t>
      </w:r>
      <w:proofErr w:type="spellEnd"/>
      <w:r>
        <w:t xml:space="preserve"> Y, </w:t>
      </w:r>
      <w:proofErr w:type="spellStart"/>
      <w:r>
        <w:t>Yeung</w:t>
      </w:r>
      <w:proofErr w:type="spellEnd"/>
      <w:r>
        <w:t xml:space="preserve"> M-L, </w:t>
      </w:r>
      <w:proofErr w:type="spellStart"/>
      <w:r>
        <w:t>Deng</w:t>
      </w:r>
      <w:proofErr w:type="spellEnd"/>
      <w:r>
        <w:t xml:space="preserve"> W, </w:t>
      </w:r>
      <w:proofErr w:type="spellStart"/>
      <w:r>
        <w:t>Bao</w:t>
      </w:r>
      <w:proofErr w:type="spellEnd"/>
      <w:r>
        <w:t xml:space="preserve"> L, </w:t>
      </w:r>
      <w:proofErr w:type="spellStart"/>
      <w:r>
        <w:t>Jia</w:t>
      </w:r>
      <w:proofErr w:type="spellEnd"/>
      <w:r>
        <w:t xml:space="preserve"> L, et al.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Lopinavir</w:t>
      </w:r>
      <w:proofErr w:type="spellEnd"/>
      <w:r>
        <w:t>/</w:t>
      </w:r>
      <w:proofErr w:type="spellStart"/>
      <w:r>
        <w:t>Ritonavir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Interferon-β1b </w:t>
      </w:r>
      <w:proofErr w:type="spellStart"/>
      <w:r>
        <w:t>Improves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MERS-</w:t>
      </w:r>
      <w:proofErr w:type="spellStart"/>
      <w:r>
        <w:t>CoV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in a </w:t>
      </w:r>
      <w:proofErr w:type="spellStart"/>
      <w:r>
        <w:t>Nonhuman</w:t>
      </w:r>
      <w:proofErr w:type="spellEnd"/>
      <w:r>
        <w:t xml:space="preserve"> </w:t>
      </w:r>
      <w:proofErr w:type="spellStart"/>
      <w:r>
        <w:t>Primate</w:t>
      </w:r>
      <w:proofErr w:type="spellEnd"/>
      <w:r>
        <w:t xml:space="preserve"> Model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Marmoset</w:t>
      </w:r>
      <w:proofErr w:type="spellEnd"/>
      <w:r>
        <w:t xml:space="preserve">. J </w:t>
      </w:r>
      <w:proofErr w:type="spellStart"/>
      <w:r>
        <w:t>Infect</w:t>
      </w:r>
      <w:proofErr w:type="spellEnd"/>
      <w:r>
        <w:t xml:space="preserve"> Dis 2015; 212:1904–1913. </w:t>
      </w:r>
    </w:p>
    <w:p w:rsidR="00C62B8D" w:rsidRDefault="002B2A97" w:rsidP="00F76AA7">
      <w:r>
        <w:lastRenderedPageBreak/>
        <w:t xml:space="preserve">21 </w:t>
      </w:r>
      <w:proofErr w:type="spellStart"/>
      <w:r>
        <w:t>Chen</w:t>
      </w:r>
      <w:proofErr w:type="spellEnd"/>
      <w:r>
        <w:t xml:space="preserve"> Jun, </w:t>
      </w:r>
      <w:proofErr w:type="spellStart"/>
      <w:r>
        <w:t>Ling</w:t>
      </w:r>
      <w:proofErr w:type="spellEnd"/>
      <w:r>
        <w:t xml:space="preserve"> </w:t>
      </w:r>
      <w:proofErr w:type="spellStart"/>
      <w:r>
        <w:t>Yun</w:t>
      </w:r>
      <w:proofErr w:type="spellEnd"/>
      <w:r>
        <w:t xml:space="preserve">, </w:t>
      </w:r>
      <w:proofErr w:type="spellStart"/>
      <w:r>
        <w:t>Xi</w:t>
      </w:r>
      <w:proofErr w:type="spellEnd"/>
      <w:r>
        <w:t xml:space="preserve"> </w:t>
      </w:r>
      <w:proofErr w:type="spellStart"/>
      <w:r>
        <w:t>Xiuhong</w:t>
      </w:r>
      <w:proofErr w:type="spellEnd"/>
      <w:r>
        <w:t xml:space="preserve">, </w:t>
      </w:r>
      <w:proofErr w:type="spellStart"/>
      <w:r>
        <w:t>Liu</w:t>
      </w:r>
      <w:proofErr w:type="spellEnd"/>
      <w:r>
        <w:t xml:space="preserve"> Ping, </w:t>
      </w:r>
      <w:proofErr w:type="spellStart"/>
      <w:r>
        <w:t>Li</w:t>
      </w:r>
      <w:proofErr w:type="spellEnd"/>
      <w:r>
        <w:t xml:space="preserve"> </w:t>
      </w:r>
      <w:proofErr w:type="spellStart"/>
      <w:r>
        <w:t>Feng</w:t>
      </w:r>
      <w:proofErr w:type="spellEnd"/>
      <w:r>
        <w:t xml:space="preserve">, </w:t>
      </w:r>
      <w:proofErr w:type="spellStart"/>
      <w:r>
        <w:t>Li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, </w:t>
      </w:r>
      <w:proofErr w:type="spellStart"/>
      <w:r>
        <w:t>Shang</w:t>
      </w:r>
      <w:proofErr w:type="spellEnd"/>
      <w:r>
        <w:t xml:space="preserve"> </w:t>
      </w:r>
      <w:proofErr w:type="spellStart"/>
      <w:r>
        <w:t>Zhiyin</w:t>
      </w:r>
      <w:proofErr w:type="spellEnd"/>
      <w:r>
        <w:t xml:space="preserve">, </w:t>
      </w:r>
      <w:proofErr w:type="spellStart"/>
      <w:r>
        <w:t>Wang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, </w:t>
      </w:r>
      <w:proofErr w:type="spellStart"/>
      <w:r>
        <w:t>Shen</w:t>
      </w:r>
      <w:proofErr w:type="spellEnd"/>
      <w:r>
        <w:t xml:space="preserve"> </w:t>
      </w:r>
      <w:proofErr w:type="spellStart"/>
      <w:r>
        <w:t>Yinzhong</w:t>
      </w:r>
      <w:proofErr w:type="spellEnd"/>
      <w:r>
        <w:t xml:space="preserve">, </w:t>
      </w:r>
      <w:proofErr w:type="spellStart"/>
      <w:r>
        <w:t>Lu</w:t>
      </w:r>
      <w:proofErr w:type="spellEnd"/>
      <w:r>
        <w:t xml:space="preserve"> </w:t>
      </w:r>
      <w:proofErr w:type="spellStart"/>
      <w:r>
        <w:t>Hongzhou</w:t>
      </w:r>
      <w:proofErr w:type="spellEnd"/>
      <w:r>
        <w:t xml:space="preserve">. </w:t>
      </w:r>
      <w:proofErr w:type="spellStart"/>
      <w:r>
        <w:t>Efficacies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lopinavir</w:t>
      </w:r>
      <w:proofErr w:type="spellEnd"/>
      <w:r>
        <w:t>/</w:t>
      </w:r>
      <w:proofErr w:type="spellStart"/>
      <w:r>
        <w:t>ritonavir</w:t>
      </w:r>
      <w:proofErr w:type="spellEnd"/>
      <w:r>
        <w:t xml:space="preserve"> and </w:t>
      </w:r>
      <w:proofErr w:type="spellStart"/>
      <w:r>
        <w:t>abidol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novel </w:t>
      </w:r>
      <w:proofErr w:type="spellStart"/>
      <w:r>
        <w:t>coronavirus</w:t>
      </w:r>
      <w:proofErr w:type="spellEnd"/>
      <w:r>
        <w:t xml:space="preserve"> </w:t>
      </w:r>
      <w:proofErr w:type="spellStart"/>
      <w:r>
        <w:t>pneumonia</w:t>
      </w:r>
      <w:proofErr w:type="spellEnd"/>
      <w:r>
        <w:t xml:space="preserve">. </w:t>
      </w:r>
      <w:proofErr w:type="spellStart"/>
      <w:r>
        <w:t>Chin</w:t>
      </w:r>
      <w:proofErr w:type="spellEnd"/>
      <w:r>
        <w:t xml:space="preserve"> J </w:t>
      </w:r>
      <w:proofErr w:type="spellStart"/>
      <w:r>
        <w:t>Infect</w:t>
      </w:r>
      <w:proofErr w:type="spellEnd"/>
      <w:r>
        <w:t xml:space="preserve"> Dis. 2020; :</w:t>
      </w:r>
      <w:proofErr w:type="gramStart"/>
      <w:r>
        <w:t>E008</w:t>
      </w:r>
      <w:proofErr w:type="gramEnd"/>
      <w:r>
        <w:t>–</w:t>
      </w:r>
      <w:proofErr w:type="gramStart"/>
      <w:r>
        <w:t>E008</w:t>
      </w:r>
      <w:proofErr w:type="gramEnd"/>
      <w:r>
        <w:t xml:space="preserve">. </w:t>
      </w:r>
    </w:p>
    <w:p w:rsidR="00C62B8D" w:rsidRDefault="002B2A97" w:rsidP="00F76AA7">
      <w:r>
        <w:t xml:space="preserve">22 </w:t>
      </w:r>
      <w:proofErr w:type="spellStart"/>
      <w:r>
        <w:t>Cao</w:t>
      </w:r>
      <w:proofErr w:type="spellEnd"/>
      <w:r>
        <w:t xml:space="preserve"> B, </w:t>
      </w:r>
      <w:proofErr w:type="spellStart"/>
      <w:r>
        <w:t>Wang</w:t>
      </w:r>
      <w:proofErr w:type="spellEnd"/>
      <w:r>
        <w:t xml:space="preserve"> Y, </w:t>
      </w:r>
      <w:proofErr w:type="spellStart"/>
      <w:r>
        <w:t>Wen</w:t>
      </w:r>
      <w:proofErr w:type="spellEnd"/>
      <w:r>
        <w:t xml:space="preserve"> D, </w:t>
      </w:r>
      <w:proofErr w:type="spellStart"/>
      <w:r>
        <w:t>Liu</w:t>
      </w:r>
      <w:proofErr w:type="spellEnd"/>
      <w:r>
        <w:t xml:space="preserve"> W, </w:t>
      </w:r>
      <w:proofErr w:type="spellStart"/>
      <w:r>
        <w:t>Wang</w:t>
      </w:r>
      <w:proofErr w:type="spellEnd"/>
      <w:r>
        <w:t xml:space="preserve"> J, </w:t>
      </w:r>
      <w:proofErr w:type="spellStart"/>
      <w:r>
        <w:t>Fan</w:t>
      </w:r>
      <w:proofErr w:type="spellEnd"/>
      <w:r>
        <w:t xml:space="preserve"> G, et al. A Trial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Lopinavir</w:t>
      </w:r>
      <w:proofErr w:type="spellEnd"/>
      <w:proofErr w:type="gramEnd"/>
      <w:r>
        <w:t>–</w:t>
      </w:r>
      <w:proofErr w:type="spellStart"/>
      <w:proofErr w:type="gramStart"/>
      <w:r>
        <w:t>Ritonavir</w:t>
      </w:r>
      <w:proofErr w:type="spellEnd"/>
      <w:proofErr w:type="gramEnd"/>
      <w:r>
        <w:t xml:space="preserve"> in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Hospitalized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Severe Covid-19. New </w:t>
      </w:r>
      <w:proofErr w:type="spellStart"/>
      <w:r>
        <w:t>England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Online </w:t>
      </w:r>
      <w:proofErr w:type="spellStart"/>
      <w:r>
        <w:t>First</w:t>
      </w:r>
      <w:proofErr w:type="spellEnd"/>
      <w:r>
        <w:t xml:space="preserve">: 18 </w:t>
      </w:r>
      <w:proofErr w:type="spellStart"/>
      <w:r>
        <w:t>March</w:t>
      </w:r>
      <w:proofErr w:type="spellEnd"/>
      <w:r>
        <w:t xml:space="preserve"> 2020. doi:10.1056/NEJMoa2001282 </w:t>
      </w:r>
    </w:p>
    <w:p w:rsidR="00C62B8D" w:rsidRDefault="002B2A97" w:rsidP="00F76AA7">
      <w:r>
        <w:t xml:space="preserve">23 </w:t>
      </w:r>
      <w:proofErr w:type="spellStart"/>
      <w:r>
        <w:t>Organization</w:t>
      </w:r>
      <w:proofErr w:type="spellEnd"/>
      <w:r>
        <w:t xml:space="preserve"> WH. </w:t>
      </w:r>
      <w:proofErr w:type="spellStart"/>
      <w:r>
        <w:t>Clinical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</w:t>
      </w:r>
      <w:proofErr w:type="gramStart"/>
      <w:r>
        <w:t>severe</w:t>
      </w:r>
      <w:proofErr w:type="gramEnd"/>
      <w:r>
        <w:t xml:space="preserve">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(SARI) </w:t>
      </w:r>
      <w:proofErr w:type="spellStart"/>
      <w:r>
        <w:t>when</w:t>
      </w:r>
      <w:proofErr w:type="spellEnd"/>
      <w:r>
        <w:t xml:space="preserve"> COVID19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suspected</w:t>
      </w:r>
      <w:proofErr w:type="spellEnd"/>
      <w:r>
        <w:t xml:space="preserve">: interim </w:t>
      </w:r>
      <w:proofErr w:type="spellStart"/>
      <w:r>
        <w:t>guidance</w:t>
      </w:r>
      <w:proofErr w:type="spellEnd"/>
      <w:r>
        <w:t xml:space="preserve">, 13 </w:t>
      </w:r>
      <w:proofErr w:type="spellStart"/>
      <w:r>
        <w:t>March</w:t>
      </w:r>
      <w:proofErr w:type="spellEnd"/>
      <w:r>
        <w:t xml:space="preserve"> 2020. </w:t>
      </w:r>
      <w:proofErr w:type="spellStart"/>
      <w:r>
        <w:t>Published</w:t>
      </w:r>
      <w:proofErr w:type="spellEnd"/>
      <w:r>
        <w:t xml:space="preserve"> Online </w:t>
      </w:r>
      <w:proofErr w:type="spellStart"/>
      <w:r>
        <w:t>First</w:t>
      </w:r>
      <w:proofErr w:type="spellEnd"/>
      <w:r>
        <w:t>: 2020.https://apps.who.int/iris/handle/10665/331446 (</w:t>
      </w:r>
      <w:proofErr w:type="spellStart"/>
      <w:r>
        <w:t>accessed</w:t>
      </w:r>
      <w:proofErr w:type="spellEnd"/>
      <w:r>
        <w:t xml:space="preserve"> 16 Mar2020). </w:t>
      </w:r>
    </w:p>
    <w:p w:rsidR="00424808" w:rsidRDefault="002B2A97" w:rsidP="00F76AA7">
      <w:r>
        <w:t xml:space="preserve">24 Russell CD, </w:t>
      </w:r>
      <w:proofErr w:type="spellStart"/>
      <w:r>
        <w:t>Millar</w:t>
      </w:r>
      <w:proofErr w:type="spellEnd"/>
      <w:r>
        <w:t xml:space="preserve"> JE, </w:t>
      </w:r>
      <w:proofErr w:type="spellStart"/>
      <w:r>
        <w:t>Baillie</w:t>
      </w:r>
      <w:proofErr w:type="spellEnd"/>
      <w:r>
        <w:t xml:space="preserve"> JK. </w:t>
      </w:r>
      <w:proofErr w:type="spellStart"/>
      <w:r>
        <w:t>Clinical</w:t>
      </w:r>
      <w:proofErr w:type="spellEnd"/>
      <w:r>
        <w:t xml:space="preserve"> evidence </w:t>
      </w:r>
      <w:proofErr w:type="spellStart"/>
      <w:r>
        <w:t>does</w:t>
      </w:r>
      <w:proofErr w:type="spellEnd"/>
      <w:r>
        <w:t xml:space="preserve"> not support </w:t>
      </w:r>
      <w:proofErr w:type="spellStart"/>
      <w:r>
        <w:t>corticosteroid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gramStart"/>
      <w:r>
        <w:t>2019-nCoV</w:t>
      </w:r>
      <w:proofErr w:type="gramEnd"/>
      <w:r>
        <w:t xml:space="preserve"> </w:t>
      </w:r>
      <w:proofErr w:type="spellStart"/>
      <w:r>
        <w:t>lung</w:t>
      </w:r>
      <w:proofErr w:type="spellEnd"/>
      <w:r>
        <w:t xml:space="preserve"> </w:t>
      </w:r>
      <w:proofErr w:type="spellStart"/>
      <w:r>
        <w:t>injury</w:t>
      </w:r>
      <w:proofErr w:type="spellEnd"/>
      <w:r>
        <w:t>. Lancet 2020; 395:473–475.</w:t>
      </w:r>
    </w:p>
    <w:p w:rsidR="002B2A97" w:rsidRDefault="00C62B8D" w:rsidP="00F76AA7">
      <w:r>
        <w:t xml:space="preserve">25 </w:t>
      </w:r>
      <w:r w:rsidR="002B2A97">
        <w:t xml:space="preserve">INTERIM CLINICAL GUIDANCE FOR PATIENTS SUSPECTED OF/CONFIRMED WITH COVID-19 IN BELGIUM 19 </w:t>
      </w:r>
      <w:proofErr w:type="spellStart"/>
      <w:r w:rsidR="002B2A97">
        <w:t>March</w:t>
      </w:r>
      <w:proofErr w:type="spellEnd"/>
      <w:r w:rsidR="002B2A97">
        <w:t xml:space="preserve"> 2020; </w:t>
      </w:r>
      <w:proofErr w:type="spellStart"/>
      <w:r w:rsidR="002B2A97">
        <w:t>Version</w:t>
      </w:r>
      <w:proofErr w:type="spellEnd"/>
      <w:r w:rsidR="002B2A97">
        <w:t xml:space="preserve"> 4</w:t>
      </w:r>
    </w:p>
    <w:p w:rsidR="00424808" w:rsidRDefault="00C62B8D" w:rsidP="00F76AA7">
      <w:pPr>
        <w:rPr>
          <w:rStyle w:val="Hypertextovodkaz"/>
        </w:rPr>
      </w:pPr>
      <w:r>
        <w:t xml:space="preserve">26 </w:t>
      </w:r>
      <w:hyperlink r:id="rId7" w:history="1">
        <w:r w:rsidR="00424808">
          <w:rPr>
            <w:rStyle w:val="Hypertextovodkaz"/>
          </w:rPr>
          <w:t>https://www3.nhk.or.jp/nhkworld/en/news/20200317_48/</w:t>
        </w:r>
      </w:hyperlink>
    </w:p>
    <w:p w:rsidR="00571B5E" w:rsidRDefault="00C62B8D" w:rsidP="00F76AA7">
      <w:pPr>
        <w:rPr>
          <w:rStyle w:val="Hypertextovodkaz"/>
        </w:rPr>
      </w:pPr>
      <w:r>
        <w:t xml:space="preserve">27 </w:t>
      </w:r>
      <w:hyperlink r:id="rId8" w:history="1">
        <w:r w:rsidR="00571B5E">
          <w:rPr>
            <w:rStyle w:val="Hypertextovodkaz"/>
          </w:rPr>
          <w:t>https://www.nejm.org/doi/full/10.1056/NEJMoa2001282</w:t>
        </w:r>
      </w:hyperlink>
      <w:r w:rsidR="00571B5E">
        <w:rPr>
          <w:color w:val="4D4D4D"/>
        </w:rPr>
        <w:t xml:space="preserve"> ),</w:t>
      </w:r>
    </w:p>
    <w:p w:rsidR="00114638" w:rsidRPr="00114638" w:rsidRDefault="00C62B8D" w:rsidP="001146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color w:val="000000"/>
        </w:rPr>
        <w:t xml:space="preserve">28 </w:t>
      </w:r>
      <w:proofErr w:type="spellStart"/>
      <w:r w:rsidR="00114638" w:rsidRPr="00114638">
        <w:rPr>
          <w:rFonts w:cstheme="minorHAnsi"/>
          <w:color w:val="000000"/>
        </w:rPr>
        <w:t>Kluge</w:t>
      </w:r>
      <w:proofErr w:type="spellEnd"/>
      <w:r w:rsidR="00114638" w:rsidRPr="00114638">
        <w:rPr>
          <w:rFonts w:cstheme="minorHAnsi"/>
          <w:color w:val="000000"/>
        </w:rPr>
        <w:t xml:space="preserve"> S., </w:t>
      </w:r>
      <w:proofErr w:type="spellStart"/>
      <w:r w:rsidR="00114638" w:rsidRPr="00114638">
        <w:rPr>
          <w:rFonts w:cstheme="minorHAnsi"/>
          <w:color w:val="000000"/>
        </w:rPr>
        <w:t>Janssens</w:t>
      </w:r>
      <w:proofErr w:type="spellEnd"/>
      <w:r w:rsidR="00114638" w:rsidRPr="00114638">
        <w:rPr>
          <w:rFonts w:cstheme="minorHAnsi"/>
          <w:color w:val="000000"/>
        </w:rPr>
        <w:t xml:space="preserve"> U., </w:t>
      </w:r>
      <w:proofErr w:type="spellStart"/>
      <w:r w:rsidR="00114638" w:rsidRPr="00114638">
        <w:rPr>
          <w:rFonts w:cstheme="minorHAnsi"/>
          <w:color w:val="000000"/>
        </w:rPr>
        <w:t>Welte</w:t>
      </w:r>
      <w:proofErr w:type="spellEnd"/>
      <w:r w:rsidR="00114638" w:rsidRPr="00114638">
        <w:rPr>
          <w:rFonts w:cstheme="minorHAnsi"/>
          <w:color w:val="000000"/>
        </w:rPr>
        <w:t xml:space="preserve"> T., </w:t>
      </w:r>
      <w:proofErr w:type="spellStart"/>
      <w:r w:rsidR="00114638" w:rsidRPr="00114638">
        <w:rPr>
          <w:rFonts w:cstheme="minorHAnsi"/>
          <w:color w:val="000000"/>
        </w:rPr>
        <w:t>Carstens</w:t>
      </w:r>
      <w:proofErr w:type="spellEnd"/>
      <w:r w:rsidR="00114638" w:rsidRPr="00114638">
        <w:rPr>
          <w:rFonts w:cstheme="minorHAnsi"/>
          <w:color w:val="000000"/>
        </w:rPr>
        <w:t xml:space="preserve"> </w:t>
      </w:r>
      <w:proofErr w:type="spellStart"/>
      <w:proofErr w:type="gramStart"/>
      <w:r w:rsidR="00114638" w:rsidRPr="00114638">
        <w:rPr>
          <w:rFonts w:cstheme="minorHAnsi"/>
          <w:color w:val="000000"/>
        </w:rPr>
        <w:t>S.,Marx</w:t>
      </w:r>
      <w:proofErr w:type="spellEnd"/>
      <w:proofErr w:type="gramEnd"/>
      <w:r w:rsidR="00114638" w:rsidRPr="00114638">
        <w:rPr>
          <w:rFonts w:cstheme="minorHAnsi"/>
          <w:color w:val="000000"/>
        </w:rPr>
        <w:t xml:space="preserve"> G., </w:t>
      </w:r>
      <w:proofErr w:type="spellStart"/>
      <w:r w:rsidR="00114638" w:rsidRPr="00114638">
        <w:rPr>
          <w:rFonts w:cstheme="minorHAnsi"/>
          <w:color w:val="000000"/>
        </w:rPr>
        <w:t>Karagiannidis</w:t>
      </w:r>
      <w:proofErr w:type="spellEnd"/>
      <w:r w:rsidR="00114638" w:rsidRPr="00114638">
        <w:rPr>
          <w:rFonts w:cstheme="minorHAnsi"/>
          <w:color w:val="000000"/>
        </w:rPr>
        <w:t xml:space="preserve"> Ch. </w:t>
      </w:r>
      <w:proofErr w:type="spellStart"/>
      <w:r w:rsidR="00114638" w:rsidRPr="00114638">
        <w:rPr>
          <w:rFonts w:cstheme="minorHAnsi"/>
        </w:rPr>
        <w:t>Empfehlungen</w:t>
      </w:r>
      <w:proofErr w:type="spellEnd"/>
      <w:r w:rsidR="00114638" w:rsidRPr="00114638">
        <w:rPr>
          <w:rFonts w:cstheme="minorHAnsi"/>
        </w:rPr>
        <w:t xml:space="preserve"> </w:t>
      </w:r>
      <w:proofErr w:type="spellStart"/>
      <w:r w:rsidR="00114638" w:rsidRPr="00114638">
        <w:rPr>
          <w:rFonts w:cstheme="minorHAnsi"/>
        </w:rPr>
        <w:t>zur</w:t>
      </w:r>
      <w:proofErr w:type="spellEnd"/>
    </w:p>
    <w:p w:rsidR="00114638" w:rsidRPr="00114638" w:rsidRDefault="00114638" w:rsidP="001146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114638">
        <w:rPr>
          <w:rFonts w:cstheme="minorHAnsi"/>
        </w:rPr>
        <w:t>intensivmedizinischen</w:t>
      </w:r>
      <w:proofErr w:type="spellEnd"/>
      <w:r w:rsidRPr="00114638">
        <w:rPr>
          <w:rFonts w:cstheme="minorHAnsi"/>
        </w:rPr>
        <w:t xml:space="preserve"> </w:t>
      </w:r>
      <w:proofErr w:type="spellStart"/>
      <w:r w:rsidRPr="00114638">
        <w:rPr>
          <w:rFonts w:cstheme="minorHAnsi"/>
        </w:rPr>
        <w:t>Therapie</w:t>
      </w:r>
      <w:proofErr w:type="spellEnd"/>
      <w:r w:rsidRPr="00114638">
        <w:rPr>
          <w:rFonts w:cstheme="minorHAnsi"/>
        </w:rPr>
        <w:t xml:space="preserve"> von </w:t>
      </w:r>
      <w:proofErr w:type="spellStart"/>
      <w:r w:rsidRPr="00114638">
        <w:rPr>
          <w:rFonts w:cstheme="minorHAnsi"/>
        </w:rPr>
        <w:t>Patienten</w:t>
      </w:r>
      <w:proofErr w:type="spellEnd"/>
      <w:r w:rsidRPr="00114638">
        <w:rPr>
          <w:rFonts w:cstheme="minorHAnsi"/>
        </w:rPr>
        <w:t xml:space="preserve"> </w:t>
      </w:r>
      <w:proofErr w:type="spellStart"/>
      <w:r w:rsidRPr="00114638">
        <w:rPr>
          <w:rFonts w:cstheme="minorHAnsi"/>
        </w:rPr>
        <w:t>mit</w:t>
      </w:r>
      <w:proofErr w:type="spellEnd"/>
      <w:r w:rsidRPr="00114638">
        <w:rPr>
          <w:rFonts w:cstheme="minorHAnsi"/>
        </w:rPr>
        <w:t xml:space="preserve"> COVID-19., </w:t>
      </w:r>
      <w:r w:rsidRPr="00114638">
        <w:rPr>
          <w:rFonts w:cstheme="minorHAnsi"/>
          <w:color w:val="000000"/>
        </w:rPr>
        <w:t xml:space="preserve">Med Klin </w:t>
      </w:r>
      <w:proofErr w:type="spellStart"/>
      <w:r w:rsidRPr="00114638">
        <w:rPr>
          <w:rFonts w:cstheme="minorHAnsi"/>
          <w:color w:val="000000"/>
        </w:rPr>
        <w:t>Intensivmed</w:t>
      </w:r>
      <w:proofErr w:type="spellEnd"/>
      <w:r w:rsidRPr="00114638">
        <w:rPr>
          <w:rFonts w:cstheme="minorHAnsi"/>
          <w:color w:val="000000"/>
        </w:rPr>
        <w:t xml:space="preserve"> </w:t>
      </w:r>
      <w:proofErr w:type="spellStart"/>
      <w:r w:rsidRPr="00114638">
        <w:rPr>
          <w:rFonts w:cstheme="minorHAnsi"/>
          <w:color w:val="000000"/>
        </w:rPr>
        <w:t>Notfmed</w:t>
      </w:r>
      <w:proofErr w:type="spellEnd"/>
    </w:p>
    <w:p w:rsidR="00114638" w:rsidRPr="00114638" w:rsidRDefault="00C90568" w:rsidP="0011463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9" w:history="1">
        <w:r w:rsidR="00114638" w:rsidRPr="00114638">
          <w:rPr>
            <w:rStyle w:val="Hypertextovodkaz"/>
            <w:rFonts w:cstheme="minorHAnsi"/>
          </w:rPr>
          <w:t>https://doi.org/10.1007/s00063-020-00674-3</w:t>
        </w:r>
      </w:hyperlink>
      <w:r w:rsidR="00114638" w:rsidRPr="00114638">
        <w:rPr>
          <w:rFonts w:cstheme="minorHAnsi"/>
          <w:color w:val="0000FF"/>
        </w:rPr>
        <w:t xml:space="preserve"> </w:t>
      </w:r>
      <w:proofErr w:type="spellStart"/>
      <w:r w:rsidR="00114638" w:rsidRPr="00114638">
        <w:rPr>
          <w:rFonts w:cstheme="minorHAnsi"/>
          <w:color w:val="000000"/>
        </w:rPr>
        <w:t>Springer</w:t>
      </w:r>
      <w:proofErr w:type="spellEnd"/>
      <w:r w:rsidR="00114638" w:rsidRPr="00114638">
        <w:rPr>
          <w:rFonts w:cstheme="minorHAnsi"/>
          <w:color w:val="000000"/>
        </w:rPr>
        <w:t xml:space="preserve"> </w:t>
      </w:r>
      <w:proofErr w:type="spellStart"/>
      <w:r w:rsidR="00114638" w:rsidRPr="00114638">
        <w:rPr>
          <w:rFonts w:cstheme="minorHAnsi"/>
          <w:color w:val="000000"/>
        </w:rPr>
        <w:t>Medizin</w:t>
      </w:r>
      <w:proofErr w:type="spellEnd"/>
      <w:r w:rsidR="00114638" w:rsidRPr="00114638">
        <w:rPr>
          <w:rFonts w:cstheme="minorHAnsi"/>
          <w:color w:val="000000"/>
        </w:rPr>
        <w:t xml:space="preserve"> </w:t>
      </w:r>
      <w:proofErr w:type="spellStart"/>
      <w:r w:rsidR="00114638" w:rsidRPr="00114638">
        <w:rPr>
          <w:rFonts w:cstheme="minorHAnsi"/>
          <w:color w:val="000000"/>
        </w:rPr>
        <w:t>Verlag</w:t>
      </w:r>
      <w:proofErr w:type="spellEnd"/>
      <w:r w:rsidR="00114638" w:rsidRPr="00114638">
        <w:rPr>
          <w:rFonts w:cstheme="minorHAnsi"/>
          <w:color w:val="000000"/>
        </w:rPr>
        <w:t xml:space="preserve"> </w:t>
      </w:r>
      <w:proofErr w:type="spellStart"/>
      <w:r w:rsidR="00114638" w:rsidRPr="00114638">
        <w:rPr>
          <w:rFonts w:cstheme="minorHAnsi"/>
          <w:color w:val="000000"/>
        </w:rPr>
        <w:t>GmbH</w:t>
      </w:r>
      <w:proofErr w:type="spellEnd"/>
      <w:r w:rsidR="00114638" w:rsidRPr="00114638">
        <w:rPr>
          <w:rFonts w:cstheme="minorHAnsi"/>
          <w:color w:val="000000"/>
        </w:rPr>
        <w:t xml:space="preserve">, </w:t>
      </w:r>
      <w:proofErr w:type="spellStart"/>
      <w:r w:rsidR="00114638" w:rsidRPr="00114638">
        <w:rPr>
          <w:rFonts w:cstheme="minorHAnsi"/>
          <w:color w:val="000000"/>
        </w:rPr>
        <w:t>ein</w:t>
      </w:r>
      <w:proofErr w:type="spellEnd"/>
      <w:r w:rsidR="00114638" w:rsidRPr="00114638">
        <w:rPr>
          <w:rFonts w:cstheme="minorHAnsi"/>
          <w:color w:val="000000"/>
        </w:rPr>
        <w:t xml:space="preserve"> </w:t>
      </w:r>
      <w:proofErr w:type="spellStart"/>
      <w:r w:rsidR="00114638" w:rsidRPr="00114638">
        <w:rPr>
          <w:rFonts w:cstheme="minorHAnsi"/>
          <w:color w:val="000000"/>
        </w:rPr>
        <w:t>Teil</w:t>
      </w:r>
      <w:proofErr w:type="spellEnd"/>
      <w:r w:rsidR="00114638" w:rsidRPr="00114638">
        <w:rPr>
          <w:rFonts w:cstheme="minorHAnsi"/>
          <w:color w:val="000000"/>
        </w:rPr>
        <w:t xml:space="preserve"> von </w:t>
      </w:r>
      <w:proofErr w:type="spellStart"/>
      <w:r w:rsidR="00114638" w:rsidRPr="00114638">
        <w:rPr>
          <w:rFonts w:cstheme="minorHAnsi"/>
          <w:color w:val="000000"/>
        </w:rPr>
        <w:t>Springer</w:t>
      </w:r>
      <w:proofErr w:type="spellEnd"/>
      <w:r w:rsidR="00114638" w:rsidRPr="00114638">
        <w:rPr>
          <w:rFonts w:cstheme="minorHAnsi"/>
          <w:color w:val="000000"/>
        </w:rPr>
        <w:t xml:space="preserve"> </w:t>
      </w:r>
      <w:proofErr w:type="spellStart"/>
      <w:r w:rsidR="00114638" w:rsidRPr="00114638">
        <w:rPr>
          <w:rFonts w:cstheme="minorHAnsi"/>
          <w:color w:val="000000"/>
        </w:rPr>
        <w:t>Nature</w:t>
      </w:r>
      <w:proofErr w:type="spellEnd"/>
      <w:r w:rsidR="00114638" w:rsidRPr="00114638">
        <w:rPr>
          <w:rFonts w:cstheme="minorHAnsi"/>
          <w:color w:val="000000"/>
        </w:rPr>
        <w:t xml:space="preserve"> 2020</w:t>
      </w:r>
    </w:p>
    <w:p w:rsidR="002B2A97" w:rsidRPr="00424808" w:rsidRDefault="002B2A97" w:rsidP="00F76AA7">
      <w:pPr>
        <w:rPr>
          <w:b/>
        </w:rPr>
      </w:pPr>
    </w:p>
    <w:p w:rsidR="00424808" w:rsidRPr="00380F0D" w:rsidRDefault="00424808" w:rsidP="00F76AA7"/>
    <w:p w:rsidR="00D56C7F" w:rsidRPr="00D56C7F" w:rsidRDefault="00D56C7F" w:rsidP="00F76AA7">
      <w:pPr>
        <w:rPr>
          <w:b/>
        </w:rPr>
      </w:pPr>
    </w:p>
    <w:p w:rsidR="00D56C7F" w:rsidRDefault="00D56C7F" w:rsidP="00F76AA7"/>
    <w:p w:rsidR="00D56C7F" w:rsidRDefault="00D56C7F" w:rsidP="00F76AA7"/>
    <w:p w:rsidR="00D56C7F" w:rsidRPr="00D56C7F" w:rsidRDefault="00D56C7F" w:rsidP="00F76AA7">
      <w:r>
        <w:t xml:space="preserve"> </w:t>
      </w:r>
    </w:p>
    <w:sectPr w:rsidR="00D56C7F" w:rsidRPr="00D56C7F" w:rsidSect="00D41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00647"/>
    <w:multiLevelType w:val="multilevel"/>
    <w:tmpl w:val="E062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3A7E"/>
    <w:rsid w:val="00007188"/>
    <w:rsid w:val="00114638"/>
    <w:rsid w:val="00122BBE"/>
    <w:rsid w:val="001B0EE9"/>
    <w:rsid w:val="002A748C"/>
    <w:rsid w:val="002B2A97"/>
    <w:rsid w:val="00303A7E"/>
    <w:rsid w:val="00380F0D"/>
    <w:rsid w:val="003B6061"/>
    <w:rsid w:val="003C61B7"/>
    <w:rsid w:val="003E69F5"/>
    <w:rsid w:val="00424808"/>
    <w:rsid w:val="00440F4D"/>
    <w:rsid w:val="00452DDC"/>
    <w:rsid w:val="00483444"/>
    <w:rsid w:val="00571B5E"/>
    <w:rsid w:val="005A0510"/>
    <w:rsid w:val="005D1183"/>
    <w:rsid w:val="006119F0"/>
    <w:rsid w:val="006772BC"/>
    <w:rsid w:val="006A3B5D"/>
    <w:rsid w:val="007250F2"/>
    <w:rsid w:val="00734C64"/>
    <w:rsid w:val="00831B23"/>
    <w:rsid w:val="00855660"/>
    <w:rsid w:val="00881592"/>
    <w:rsid w:val="008E300F"/>
    <w:rsid w:val="008F76CA"/>
    <w:rsid w:val="00A65856"/>
    <w:rsid w:val="00A94312"/>
    <w:rsid w:val="00AB3174"/>
    <w:rsid w:val="00C62B8D"/>
    <w:rsid w:val="00C90568"/>
    <w:rsid w:val="00CA2696"/>
    <w:rsid w:val="00CD07BF"/>
    <w:rsid w:val="00D41D66"/>
    <w:rsid w:val="00D56C7F"/>
    <w:rsid w:val="00D73B5F"/>
    <w:rsid w:val="00DB2447"/>
    <w:rsid w:val="00DE0603"/>
    <w:rsid w:val="00E43173"/>
    <w:rsid w:val="00E821D7"/>
    <w:rsid w:val="00ED0CEA"/>
    <w:rsid w:val="00F3395A"/>
    <w:rsid w:val="00F55DE3"/>
    <w:rsid w:val="00F76AA7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4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AA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4808"/>
    <w:rPr>
      <w:color w:val="0000FF"/>
      <w:u w:val="single"/>
    </w:rPr>
  </w:style>
  <w:style w:type="paragraph" w:customStyle="1" w:styleId="Default">
    <w:name w:val="Default"/>
    <w:rsid w:val="00DE06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07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jm.org/doi/full/10.1056/NEJMoa200128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3.nhk.or.jp/nhkworld/en/news/20200317_4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i.org/10.1007/s00063-020-00674-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4F62-C301-4FC7-855A-C2939FB2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1785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MUDr. Kümpel Petr</cp:lastModifiedBy>
  <cp:revision>2</cp:revision>
  <cp:lastPrinted>2020-03-24T14:12:00Z</cp:lastPrinted>
  <dcterms:created xsi:type="dcterms:W3CDTF">2020-03-25T19:49:00Z</dcterms:created>
  <dcterms:modified xsi:type="dcterms:W3CDTF">2020-03-25T19:49:00Z</dcterms:modified>
</cp:coreProperties>
</file>